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3994150</wp:posOffset>
            </wp:positionH>
            <wp:positionV relativeFrom="paragraph">
              <wp:posOffset>-631190</wp:posOffset>
            </wp:positionV>
            <wp:extent cx="58420" cy="644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750570</wp:posOffset>
            </wp:positionV>
            <wp:extent cx="6992620" cy="52425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242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5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DEVASPER UDAYCHANDRA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6608 N. WESTERN AVE,</w:t>
      </w: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SUITE 466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Stardust Power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SDST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06/15/2026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6" w:right="620" w:firstLine="6"/>
        <w:spacing w:after="0" w:line="260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34"/>
        <w:spacing w:after="0"/>
        <w:tabs>
          <w:tab w:leader="none" w:pos="209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534"/>
        <w:spacing w:after="0"/>
        <w:tabs>
          <w:tab w:leader="none" w:pos="209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9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Financial Officer</w:t>
      </w:r>
    </w:p>
    <w:p>
      <w:pPr>
        <w:spacing w:after="0" w:line="53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6" w:space="720"/>
            <w:col w:w="3354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right w:val="single" w:sz="8" w:color="9A9A9A"/>
            </w:tcBorders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80" w:type="dxa"/>
            <w:vAlign w:val="bottom"/>
            <w:gridSpan w:val="8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10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NICHOLS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OK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73116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HILLS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7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06/15/2026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8,245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0"/>
              <w:spacing w:after="0" w:line="31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3"/>
                <w:szCs w:val="33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33"/>
                <w:szCs w:val="33"/>
                <w:color w:val="0000FF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129,856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06/15/2026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90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0"/>
              </w:rPr>
              <w:t>(2)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3,554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1.95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126,302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1"/>
          </w:tcPr>
          <w:p>
            <w:pPr>
              <w:jc w:val="center"/>
              <w:ind w:left="4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5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06/15/2026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8,245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(3)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8,245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16,494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-2018030</wp:posOffset>
            </wp:positionV>
            <wp:extent cx="29210" cy="202311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23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("RSU") represents the right to receive one common share upon vesting.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Sale of shares to cover tax withholding obligation incurred upon vesting and settlement of RSUs.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Reporting Person received 98,948 RSUs in connection with the closing of the business combination, which vest quarterly over a 3-year term, commencing July 8, 2024.</w:t>
      </w:r>
    </w:p>
    <w:p>
      <w:pPr>
        <w:spacing w:after="0" w:line="58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/s/ Udaychandra Devasper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06/17/2026</w:t>
            </w:r>
          </w:p>
        </w:tc>
      </w:tr>
      <w:tr>
        <w:trPr>
          <w:trHeight w:val="230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9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28422" TargetMode="External"/><Relationship Id="rId14" Type="http://schemas.openxmlformats.org/officeDocument/2006/relationships/hyperlink" Target="http://www.sec.gov/cgi-bin/browse-edgar?action=getcompany&amp;CIK=000183197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2026-06-17T16:23:50Z</dcterms:created>
  <dcterms:modified xsi:type="dcterms:W3CDTF">2026-06-17T16:23:50Z</dcterms:modified>
</cp:coreProperties>
</file>