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37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PUJARI ROSHEN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6608 N. WESTERN AVE,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466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Stardust Power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SDST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06/15/2026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05"/>
        <w:spacing w:after="0"/>
        <w:rPr>
          <w:sz w:val="20"/>
          <w:szCs w:val="20"/>
          <w:color w:val="auto"/>
        </w:rPr>
      </w:pPr>
      <w:r>
        <w:rPr>
          <w:rFonts w:ascii="Times New Roman" w:cs="Times New Roman" w:eastAsia="Times New Roman" w:hAnsi="Times New Roman"/>
          <w:sz w:val="17"/>
          <w:szCs w:val="17"/>
          <w:color w:val="0000FF"/>
        </w:rPr>
        <w:t>CEO and Chairman</w:t>
      </w:r>
    </w:p>
    <w:p>
      <w:pPr>
        <w:spacing w:after="0" w:line="46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47"/>
        </w:trPr>
        <w:tc>
          <w:tcPr>
            <w:tcW w:w="40" w:type="dxa"/>
            <w:vAlign w:val="bottom"/>
          </w:tcPr>
          <w:p>
            <w:pPr>
              <w:spacing w:after="0"/>
              <w:rPr>
                <w:sz w:val="4"/>
                <w:szCs w:val="4"/>
                <w:color w:val="auto"/>
              </w:rPr>
            </w:pPr>
          </w:p>
        </w:tc>
        <w:tc>
          <w:tcPr>
            <w:tcW w:w="36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680" w:type="dxa"/>
            <w:vAlign w:val="bottom"/>
            <w:tcBorders>
              <w:top w:val="single" w:sz="8" w:color="2C2C2C"/>
              <w:bottom w:val="single" w:sz="8" w:color="2C2C2C"/>
            </w:tcBorders>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tcBorders>
              <w:top w:val="single" w:sz="8" w:color="2C2C2C"/>
              <w:bottom w:val="single" w:sz="8" w:color="2C2C2C"/>
            </w:tcBorders>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4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80" w:type="dxa"/>
            <w:vAlign w:val="bottom"/>
            <w:vMerge w:val="continue"/>
          </w:tcPr>
          <w:p>
            <w:pPr>
              <w:spacing w:after="0" w:line="20" w:lineRule="exact"/>
              <w:rPr>
                <w:sz w:val="1"/>
                <w:szCs w:val="1"/>
                <w:color w:val="auto"/>
              </w:rPr>
            </w:pPr>
          </w:p>
        </w:tc>
        <w:tc>
          <w:tcPr>
            <w:tcW w:w="3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1"/>
                <w:szCs w:val="11"/>
                <w:color w:val="auto"/>
              </w:rPr>
            </w:pPr>
          </w:p>
        </w:tc>
        <w:tc>
          <w:tcPr>
            <w:tcW w:w="3680" w:type="dxa"/>
            <w:vAlign w:val="bottom"/>
            <w:vMerge w:val="continue"/>
          </w:tcPr>
          <w:p>
            <w:pPr>
              <w:spacing w:after="0"/>
              <w:rPr>
                <w:sz w:val="11"/>
                <w:szCs w:val="11"/>
                <w:color w:val="auto"/>
              </w:rPr>
            </w:pPr>
          </w:p>
        </w:tc>
        <w:tc>
          <w:tcPr>
            <w:tcW w:w="3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3440" w:type="dxa"/>
            <w:vAlign w:val="bottom"/>
            <w:vMerge w:val="restart"/>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193"/>
        </w:trPr>
        <w:tc>
          <w:tcPr>
            <w:tcW w:w="98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NICHOLS</w:t>
            </w:r>
          </w:p>
        </w:tc>
        <w:tc>
          <w:tcPr>
            <w:tcW w:w="106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OK</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73116</w:t>
            </w:r>
          </w:p>
        </w:tc>
        <w:tc>
          <w:tcPr>
            <w:tcW w:w="6820" w:type="dxa"/>
            <w:vAlign w:val="bottom"/>
            <w:vMerge w:val="restart"/>
          </w:tcPr>
          <w:p>
            <w:pPr>
              <w:ind w:left="45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5"/>
        </w:trPr>
        <w:tc>
          <w:tcPr>
            <w:tcW w:w="9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HILLS</w:t>
            </w:r>
          </w:p>
        </w:tc>
        <w:tc>
          <w:tcPr>
            <w:tcW w:w="106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6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98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820" w:type="dxa"/>
            <w:vAlign w:val="bottom"/>
          </w:tcPr>
          <w:p>
            <w:pPr>
              <w:ind w:left="4500"/>
              <w:spacing w:after="0" w:line="14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6820" w:type="dxa"/>
            <w:vAlign w:val="bottom"/>
          </w:tcPr>
          <w:p>
            <w:pPr>
              <w:ind w:left="4500"/>
              <w:spacing w:after="0" w:line="113"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309"/>
        </w:trPr>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6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06/15/2026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861</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tcBorders>
              <w:bottom w:val="single" w:sz="8" w:color="2C2C2C"/>
            </w:tcBorders>
            <w:gridSpan w:val="2"/>
          </w:tcPr>
          <w:p>
            <w:pPr>
              <w:ind w:left="2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1.91</w:t>
            </w:r>
          </w:p>
        </w:tc>
        <w:tc>
          <w:tcPr>
            <w:tcW w:w="1280" w:type="dxa"/>
            <w:vAlign w:val="bottom"/>
            <w:tcBorders>
              <w:bottom w:val="single" w:sz="8" w:color="2C2C2C"/>
            </w:tcBorders>
            <w:gridSpan w:val="3"/>
          </w:tcPr>
          <w:p>
            <w:pPr>
              <w:jc w:val="right"/>
              <w:ind w:right="300"/>
              <w:spacing w:after="0"/>
              <w:rPr>
                <w:sz w:val="20"/>
                <w:szCs w:val="20"/>
                <w:color w:val="auto"/>
              </w:rPr>
            </w:pPr>
            <w:r>
              <w:rPr>
                <w:rFonts w:ascii="Times New Roman" w:cs="Times New Roman" w:eastAsia="Times New Roman" w:hAnsi="Times New Roman"/>
                <w:sz w:val="17"/>
                <w:szCs w:val="17"/>
                <w:color w:val="0000FF"/>
              </w:rPr>
              <w:t>501,910</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7"/>
                <w:szCs w:val="17"/>
                <w:color w:val="0000FF"/>
              </w:rPr>
              <w:t>1,177,475</w:t>
            </w:r>
          </w:p>
        </w:tc>
        <w:tc>
          <w:tcPr>
            <w:tcW w:w="300" w:type="dxa"/>
            <w:vAlign w:val="bottom"/>
          </w:tcPr>
          <w:p>
            <w:pPr>
              <w:spacing w:after="0"/>
              <w:rPr>
                <w:sz w:val="21"/>
                <w:szCs w:val="21"/>
                <w:color w:val="auto"/>
              </w:rPr>
            </w:pP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8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5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Sale of shares to cover tax withholding obligation incurred upon settlement of restricted stock units.</w:t>
      </w:r>
    </w:p>
    <w:p>
      <w:pPr>
        <w:spacing w:after="0" w:line="50" w:lineRule="exact"/>
        <w:rPr>
          <w:rFonts w:ascii="Times New Roman" w:cs="Times New Roman" w:eastAsia="Times New Roman" w:hAnsi="Times New Roman"/>
          <w:sz w:val="13"/>
          <w:szCs w:val="13"/>
          <w:color w:val="008000"/>
        </w:rPr>
      </w:pPr>
    </w:p>
    <w:p>
      <w:pPr>
        <w:ind w:left="40" w:right="3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beneficially owns 465,286 shares held by Energy Transition Investors LLC, 524,279 shares held by 7636 Holdings LLC, 141,888 shares held by Vikasa Clean Energy LLC, and 46,022 shares held by Maggie Clayton.</w:t>
      </w:r>
    </w:p>
    <w:p>
      <w:pPr>
        <w:spacing w:after="0" w:line="33"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Udaychandra Devasper,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03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 in fact for Roshen</w:t>
      </w:r>
      <w:r>
        <w:rPr>
          <w:sz w:val="20"/>
          <w:szCs w:val="20"/>
          <w:color w:val="auto"/>
        </w:rPr>
        <w:tab/>
      </w:r>
      <w:r>
        <w:rPr>
          <w:rFonts w:ascii="Times New Roman" w:cs="Times New Roman" w:eastAsia="Times New Roman" w:hAnsi="Times New Roman"/>
          <w:sz w:val="17"/>
          <w:szCs w:val="17"/>
          <w:color w:val="0000FF"/>
        </w:rPr>
        <w:t>06/17/2026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Pujari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628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26289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2028136" TargetMode="External"/><Relationship Id="rId14" Type="http://schemas.openxmlformats.org/officeDocument/2006/relationships/hyperlink" Target="http://www.sec.gov/cgi-bin/browse-edgar?action=getcompany&amp;CIK=00018319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2026-06-17T16:06:23Z</dcterms:created>
  <dcterms:modified xsi:type="dcterms:W3CDTF">2026-06-17T16:06:23Z</dcterms:modified>
</cp:coreProperties>
</file>