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0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B_edei--DocumentPeriodEndDate_c202"/>
      <w:bookmarkEnd w:id="4"/>
      <w:r>
        <w:rPr>
          <w:rFonts w:ascii="Times New Roman;Times;Serif" w:hAnsi="Times New Roman;Times;Serif"/>
          <w:b/>
          <w:i w:val="false"/>
          <w:caps w:val="false"/>
          <w:smallCaps w:val="false"/>
          <w:sz w:val="20"/>
        </w:rPr>
        <w:t xml:space="preserve">June 30, </w:t>
      </w:r>
      <w:bookmarkStart w:id="5" w:name="xdx_90B_edei--DocumentFiscalYearFocus_c2"/>
      <w:bookmarkEnd w:id="5"/>
      <w:r>
        <w:rPr>
          <w:rFonts w:ascii="Times New Roman;Times;Serif" w:hAnsi="Times New Roman;Times;Serif"/>
          <w:b/>
          <w:i w:val="false"/>
          <w:caps w:val="false"/>
          <w:smallCaps w:val="false"/>
          <w:sz w:val="20"/>
        </w:rPr>
        <w:t xml:space="preserve">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 w:name="xdx_906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 to 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C_edei--EntityFileNumber_c20260101"/>
      <w:bookmarkEnd w:id="7"/>
      <w:r>
        <w:rPr>
          <w:rFonts w:ascii="Times New Roman;Times;Serif" w:hAnsi="Times New Roman;Times;Serif"/>
          <w:b w:val="false"/>
          <w:i w:val="false"/>
          <w:caps w:val="false"/>
          <w:smallCaps w:val="false"/>
          <w:sz w:val="20"/>
        </w:rPr>
        <w:t>001-39875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E_edei--EntityRegistrantName_c2026"/>
      <w:bookmarkEnd w:id="8"/>
      <w:r>
        <w:rPr>
          <w:rFonts w:ascii="Times New Roman;Times;Serif" w:hAnsi="Times New Roman;Times;Serif"/>
          <w:b/>
          <w:i w:val="false"/>
          <w:caps w:val="false"/>
          <w:smallCaps w:val="false"/>
          <w:sz w:val="36"/>
        </w:rPr>
        <w:t>STARDUST 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9_edei--EntityIncorporationStateCo"/>
            <w:bookmarkEnd w:id="9"/>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A_edei--EntityTaxIdentificationNum"/>
            <w:bookmarkEnd w:id="10"/>
            <w:r>
              <w:rPr>
                <w:rFonts w:ascii="Times New Roman;Times;Serif" w:hAnsi="Times New Roman;Times;Serif"/>
                <w:b/>
                <w:i w:val="false"/>
                <w:caps w:val="false"/>
                <w:smallCaps w:val="false"/>
                <w:sz w:val="20"/>
              </w:rPr>
              <w:t>99-3863616</w:t>
            </w:r>
          </w:p>
        </w:tc>
      </w:tr>
      <w:tr>
        <w:trPr/>
        <w:tc>
          <w:tcPr>
            <w:tcW w:w="249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11" w:name="xdx_904_edei--EntityAddressAddressLine1_"/>
            <w:bookmarkEnd w:id="11"/>
            <w:r>
              <w:rPr>
                <w:rFonts w:ascii="Times New Roman;Times;Serif" w:hAnsi="Times New Roman;Times;Serif"/>
                <w:b/>
                <w:i w:val="false"/>
                <w:caps w:val="false"/>
                <w:smallCaps w:val="false"/>
                <w:sz w:val="20"/>
              </w:rPr>
              <w:t xml:space="preserve">15 E. Putnam Ave, </w:t>
            </w:r>
            <w:bookmarkStart w:id="12" w:name="xdx_90F_edei--EntityAddressAddressLine2_"/>
            <w:bookmarkEnd w:id="12"/>
            <w:r>
              <w:rPr>
                <w:rFonts w:ascii="Times New Roman;Times;Serif" w:hAnsi="Times New Roman;Times;Serif"/>
                <w:b/>
                <w:i w:val="false"/>
                <w:caps w:val="false"/>
                <w:smallCaps w:val="false"/>
                <w:sz w:val="20"/>
              </w:rPr>
              <w:t>Suite 378</w:t>
            </w:r>
          </w:p>
          <w:p>
            <w:pPr>
              <w:pStyle w:val="TableContents"/>
              <w:bidi w:val="0"/>
              <w:spacing w:before="0" w:after="0"/>
              <w:jc w:val="center"/>
              <w:rPr>
                <w:rFonts w:ascii="Times New Roman;Times;Serif" w:hAnsi="Times New Roman;Times;Serif"/>
                <w:b/>
                <w:i w:val="false"/>
                <w:caps w:val="false"/>
                <w:smallCaps w:val="false"/>
                <w:sz w:val="20"/>
              </w:rPr>
            </w:pPr>
            <w:bookmarkStart w:id="13" w:name="xdx_904_edei--EntityAddressCityOrTown_c2"/>
            <w:bookmarkEnd w:id="13"/>
            <w:r>
              <w:rPr>
                <w:rFonts w:ascii="Times New Roman;Times;Serif" w:hAnsi="Times New Roman;Times;Serif"/>
                <w:b/>
                <w:i w:val="false"/>
                <w:caps w:val="false"/>
                <w:smallCaps w:val="false"/>
                <w:sz w:val="20"/>
              </w:rPr>
              <w:t xml:space="preserve">Greenwich, </w:t>
            </w:r>
            <w:bookmarkStart w:id="14" w:name="xdx_90A_edei--EntityAddressStateOrProvin"/>
            <w:bookmarkEnd w:id="14"/>
            <w:r>
              <w:rPr>
                <w:rFonts w:ascii="Times New Roman;Times;Serif" w:hAnsi="Times New Roman;Times;Serif"/>
                <w:b/>
                <w:i w:val="false"/>
                <w:caps w:val="false"/>
                <w:smallCaps w:val="false"/>
                <w:sz w:val="20"/>
              </w:rPr>
              <w:t>CT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7_edei--EntityAddressPostalZipCode"/>
            <w:bookmarkEnd w:id="15"/>
            <w:r>
              <w:rPr>
                <w:rFonts w:ascii="Times New Roman;Times;Serif" w:hAnsi="Times New Roman;Times;Serif"/>
                <w:b/>
                <w:i w:val="false"/>
                <w:caps w:val="false"/>
                <w:smallCaps w:val="false"/>
                <w:sz w:val="20"/>
              </w:rPr>
              <w:t>06830</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6" w:name="xdx_909_edei--CityAreaCode_c20260101__20"/>
      <w:bookmarkEnd w:id="16"/>
      <w:r>
        <w:rPr>
          <w:rFonts w:ascii="Times New Roman;Times;Serif" w:hAnsi="Times New Roman;Times;Serif"/>
          <w:b/>
          <w:i w:val="false"/>
          <w:caps w:val="false"/>
          <w:smallCaps w:val="false"/>
          <w:sz w:val="20"/>
        </w:rPr>
        <w:t xml:space="preserve">(800) </w:t>
      </w:r>
      <w:bookmarkStart w:id="17" w:name="xdx_905_edei--LocalPhoneNumber_c20260101"/>
      <w:bookmarkEnd w:id="17"/>
      <w:r>
        <w:rPr>
          <w:rFonts w:ascii="Times New Roman;Times;Serif" w:hAnsi="Times New Roman;Times;Serif"/>
          <w:b/>
          <w:i w:val="false"/>
          <w:caps w:val="false"/>
          <w:smallCaps w:val="false"/>
          <w:sz w:val="20"/>
        </w:rPr>
        <w:t>742-3095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61"/>
        <w:gridCol w:w="60"/>
        <w:gridCol w:w="1276"/>
        <w:gridCol w:w="60"/>
        <w:gridCol w:w="2648"/>
      </w:tblGrid>
      <w:tr>
        <w:trPr/>
        <w:tc>
          <w:tcPr>
            <w:tcW w:w="61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6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8" w:name="xdx_90D_edei--Security12bTitle_c20260101"/>
            <w:bookmarkEnd w:id="18"/>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7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TradingSymbol_c20260101__2"/>
            <w:bookmarkEnd w:id="19"/>
            <w:r>
              <w:rPr>
                <w:rFonts w:ascii="Times New Roman;Times;Serif" w:hAnsi="Times New Roman;Times;Serif"/>
                <w:b w:val="false"/>
                <w:i w:val="false"/>
                <w:caps w:val="false"/>
                <w:smallCaps w:val="false"/>
                <w:sz w:val="20"/>
              </w:rPr>
              <w:t>SDST</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4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1_edei--SecurityExchangeName_c2026"/>
            <w:bookmarkEnd w:id="20"/>
            <w:r>
              <w:rPr>
                <w:rFonts w:ascii="Times New Roman;Times;Serif" w:hAnsi="Times New Roman;Times;Serif"/>
                <w:b w:val="false"/>
                <w:i w:val="false"/>
                <w:caps w:val="false"/>
                <w:smallCaps w:val="false"/>
                <w:sz w:val="20"/>
              </w:rPr>
              <w:t>Nasdaq Capital Market</w:t>
            </w:r>
          </w:p>
        </w:tc>
      </w:tr>
      <w:tr>
        <w:trPr/>
        <w:tc>
          <w:tcPr>
            <w:tcW w:w="616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1" w:name="xdx_90A_edei--Security12bTitle_c20260101"/>
            <w:bookmarkEnd w:id="21"/>
            <w:r>
              <w:rPr>
                <w:rFonts w:ascii="Times New Roman;Times;Serif" w:hAnsi="Times New Roman;Times;Serif"/>
                <w:b w:val="false"/>
                <w:i w:val="false"/>
                <w:caps w:val="false"/>
                <w:smallCaps w:val="false"/>
                <w:sz w:val="20"/>
              </w:rPr>
              <w:t>Redeemable warrants, with 10 warrants exercisable for one share of Common Stock at an exercise price of $115.00</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7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TradingSymbol_c20260101__2"/>
            <w:bookmarkEnd w:id="22"/>
            <w:r>
              <w:rPr>
                <w:rFonts w:ascii="Times New Roman;Times;Serif" w:hAnsi="Times New Roman;Times;Serif"/>
                <w:b w:val="false"/>
                <w:i w:val="false"/>
                <w:caps w:val="false"/>
                <w:smallCaps w:val="false"/>
                <w:sz w:val="20"/>
              </w:rPr>
              <w:t>SDSTW</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4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9_edei--SecurityExchangeName_c2026"/>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4" w:name="xdx_90B_edei--EntityCurrentReportingStat"/>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and pursuant to Rule 405 of Regulation S-T (§232.405 of this chapter) during the preceding 12 months (or for such shorter period that the registrant was required to submit such files). </w:t>
      </w:r>
      <w:bookmarkStart w:id="25" w:name="xdx_90E_edei--EntityInteractiveDataCurre"/>
      <w:bookmarkEnd w:id="25"/>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1835"/>
        <w:gridCol w:w="230"/>
        <w:gridCol w:w="2270"/>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righ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 w:name="xdx_909_edei--EntityFilerCategory_c20260"/>
            <w:bookmarkEnd w:id="26"/>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right"/>
              <w:rPr>
                <w:caps w:val="false"/>
                <w:smallCaps w:val="false"/>
              </w:rPr>
            </w:pPr>
            <w:bookmarkStart w:id="27" w:name="xdx_904_edei--EntitySmallBusiness_c20260"/>
            <w:bookmarkEnd w:id="27"/>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p>
        </w:tc>
        <w:tc>
          <w:tcPr>
            <w:tcW w:w="245" w:type="dxa"/>
            <w:tcBorders/>
            <w:vAlign w:val="center"/>
          </w:tcPr>
          <w:p>
            <w:pPr>
              <w:pStyle w:val="TableContents"/>
              <w:bidi w:val="0"/>
              <w:spacing w:before="0" w:after="283"/>
              <w:jc w:val="right"/>
              <w:rPr>
                <w:caps w:val="false"/>
                <w:smallCaps w:val="false"/>
              </w:rPr>
            </w:pPr>
            <w:bookmarkStart w:id="28" w:name="xdx_90C_edei--EntityEmergingGrowthCompan"/>
            <w:bookmarkEnd w:id="28"/>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F_edei--EntityExTransitionPeriod_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0" w:name="xdx_902_edei--EntityShellCompany_dbF_c20"/>
      <w:bookmarkEnd w:id="3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12, 2026, there were </w:t>
      </w:r>
      <w:bookmarkStart w:id="31" w:name="xdx_904_edei--EntityCommonStockSharesOut"/>
      <w:bookmarkEnd w:id="31"/>
      <w:r>
        <w:rPr>
          <w:rFonts w:ascii="Times New Roman;Times;Serif" w:hAnsi="Times New Roman;Times;Serif"/>
          <w:b w:val="false"/>
          <w:i w:val="false"/>
          <w:caps w:val="false"/>
          <w:smallCaps w:val="false"/>
          <w:sz w:val="20"/>
        </w:rPr>
        <w:t>14,049,388 shares of common stock, par value $</w:t>
      </w:r>
      <w:bookmarkStart w:id="32" w:name="xdx_90C_edei--EntityListingParValuePerSh"/>
      <w:bookmarkEnd w:id="32"/>
      <w:r>
        <w:rPr>
          <w:rFonts w:ascii="Times New Roman;Times;Serif" w:hAnsi="Times New Roman;Times;Serif"/>
          <w:b w:val="false"/>
          <w:i w:val="false"/>
          <w:caps w:val="false"/>
          <w:smallCaps w:val="false"/>
          <w:sz w:val="20"/>
        </w:rPr>
        <w:t>0.0001 per share, issued and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3"/>
        <w:gridCol w:w="9136"/>
        <w:gridCol w:w="456"/>
      </w:tblGrid>
      <w:tr>
        <w:trPr/>
        <w:tc>
          <w:tcPr>
            <w:tcW w:w="613" w:type="dxa"/>
            <w:tcBorders/>
            <w:vAlign w:val="center"/>
          </w:tcPr>
          <w:p>
            <w:pPr>
              <w:pStyle w:val="TableContents"/>
              <w:bidi w:val="0"/>
              <w:spacing w:before="0" w:after="283"/>
              <w:jc w:val="left"/>
              <w:rPr>
                <w:caps w:val="false"/>
                <w:smallCaps w:val="false"/>
              </w:rPr>
            </w:pPr>
            <w:r>
              <w:rPr>
                <w:caps w:val="false"/>
                <w:smallCaps w:val="false"/>
              </w:rPr>
              <w:t> </w:t>
            </w:r>
          </w:p>
        </w:tc>
        <w:tc>
          <w:tcPr>
            <w:tcW w:w="9136" w:type="dxa"/>
            <w:tcBorders/>
            <w:vAlign w:val="center"/>
          </w:tcPr>
          <w:p>
            <w:pPr>
              <w:pStyle w:val="TableContents"/>
              <w:bidi w:val="0"/>
              <w:spacing w:before="0" w:after="283"/>
              <w:jc w:val="both"/>
              <w:rPr>
                <w:caps w:val="false"/>
                <w:smallCaps w:val="false"/>
              </w:rPr>
            </w:pPr>
            <w:r>
              <w:rPr>
                <w:caps w:val="false"/>
                <w:smallCaps w:val="false"/>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13" w:type="dxa"/>
            <w:tcBorders/>
            <w:vAlign w:val="center"/>
          </w:tcPr>
          <w:p>
            <w:pPr>
              <w:pStyle w:val="TableContents"/>
              <w:bidi w:val="0"/>
              <w:spacing w:before="0" w:after="283"/>
              <w:jc w:val="left"/>
              <w:rPr>
                <w:caps w:val="false"/>
                <w:smallCaps w:val="false"/>
              </w:rPr>
            </w:pPr>
            <w:r>
              <w:rPr>
                <w:caps w:val="false"/>
                <w:smallCaps w:val="false"/>
              </w:rPr>
              <w:t> </w:t>
            </w:r>
          </w:p>
        </w:tc>
        <w:tc>
          <w:tcPr>
            <w:tcW w:w="9136" w:type="dxa"/>
            <w:tcBorders/>
            <w:vAlign w:val="center"/>
          </w:tcPr>
          <w:p>
            <w:pPr>
              <w:pStyle w:val="TableContents"/>
              <w:bidi w:val="0"/>
              <w:spacing w:before="0" w:after="283"/>
              <w:jc w:val="both"/>
              <w:rPr>
                <w:caps w:val="false"/>
                <w:smallCaps w:val="false"/>
              </w:rPr>
            </w:pPr>
            <w:r>
              <w:rPr>
                <w:caps w:val="false"/>
                <w:smallCaps w:val="false"/>
              </w:rPr>
              <w:t> </w:t>
            </w:r>
          </w:p>
        </w:tc>
        <w:tc>
          <w:tcPr>
            <w:tcW w:w="45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749"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PART I – FINANCIAL INFORMATION</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136"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Financial Statements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FFFF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Condensed Consolidated Balance Sheets as of June 30, 2026 (unaudited) and December 31, 2025</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Condensed Consolidated Statements of Operations for the three months and six months ended June 30, 2026, and 2025 (unaudited)</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FFFF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Condensed Consolidated Statements of Changes in Stockholders’ Equity (Deficit) for the three months and six months ended June 30, 2026, and 2025 (unaudited)</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 (unaudited)</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FFFF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136" w:type="dxa"/>
            <w:tcBorders/>
            <w:shd w:fill="FFFF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136" w:type="dxa"/>
            <w:tcBorders/>
            <w:shd w:fill="FFFF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6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136" w:type="dxa"/>
            <w:tcBorders/>
            <w:shd w:fill="FFFF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6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49" w:type="dxa"/>
            <w:gridSpan w:val="2"/>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i w:val="false"/>
                  <w:caps w:val="false"/>
                  <w:smallCaps w:val="false"/>
                  <w:sz w:val="20"/>
                </w:rPr>
                <w:t>PART II – OTHER INFORMATION</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6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136" w:type="dxa"/>
            <w:tcBorders/>
            <w:shd w:fill="FFFF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Legal Proceedings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6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136" w:type="dxa"/>
            <w:tcBorders/>
            <w:shd w:fill="FFFF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Risk Factors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6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136" w:type="dxa"/>
            <w:tcBorders/>
            <w:shd w:fill="FFFF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6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136" w:type="dxa"/>
            <w:tcBorders/>
            <w:shd w:fill="FFFF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Defaults Upon Senior Securities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6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136" w:type="dxa"/>
            <w:tcBorders/>
            <w:shd w:fill="FFFF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6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136" w:type="dxa"/>
            <w:tcBorders/>
            <w:shd w:fill="FFFF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Other Information</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6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136" w:type="dxa"/>
            <w:tcBorders/>
            <w:shd w:fill="FFFF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Exhibits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6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49" w:type="dxa"/>
            <w:gridSpan w:val="2"/>
            <w:tcBorders/>
            <w:shd w:fill="FFFF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Signature</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Quarterly Report on Form 10-Q may constitute “forward-looking statements” within the meaning of the “safe harbor” provisions of the United States Private Securities Litigation Reform Act of 1995. All statements other than statements of historical fact, including statements concerning, without limitation, our expectations, hopes, beliefs, intentions, plans, objectives, goals, prospects, financial results or strategies regarding us and the future held by our management team and the products and markets, future events, future financial condition, expected future revenues or performance financing needs, our ability to continue as a going concern, business trends and market opportunities of our business and other information referred to under the sections entitled “Risk Factors” and “Management’s Discussion and Analysis of Financial Condition and Results of Operations,” are forward-looking statements. These statements constitute projections, forecasts and forward-looking statements, and are not guarantees of performance. Such statements can be identified by the fact that they do not relate strictly to historical or current facts. In some cases, you can identify forward-looking statements by terms such as “estimate,” “continue,” “could,” “may,” “might,” “possible,” “predict,” “should,” “would,” “plan,” “project,” “forecast,” “intend,” “will,” “expect,” “anticipate,” “believe,” “seek,” “target,” “designed to” or other similar expressions that predict or indicate future events or trends or that are not statements of historical facts. In addition, any statements that refer to projections, forecasts, or other characterizations of future events or circumstances, including any underlying assumptions, are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readers of this Quarterly Report on Form 10-Q that these forward-looking statements are subject to substantial known and unknown risks, uncertainties, and other factors, most of which are difficult to predict and many of which are beyond our control and could cause our actual results, outcomes, performance or achievements, or the timing of such results, outcomes, performance or achievements, to differ materially from the expected results, outcomes, performances or achievements expressed or implied by the forward-looking statements. The following factors, among others, could cause actual results and the timing of events to differ materially from the anticipated results or other expectations expressed in the forward-looking statements contained in this Quarterly Report on Form 10-Q:</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substantial doubt regarding our ability to continue as a going concern and the need to raise capital in the near term in order to maintain the Company’s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realize the anticipated benefits of the Business Combination;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the Common Stock and the Public Warrants on the Nasdaq and comply with the Nasdaq’s continued listing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regain compliance with the Nasdaq’s continued listing requirements and rules, and the risk that the Nasdaq may delist our Common Stock and Public Warrants, which could negatively affect our company, the price of our Common Stock and Public Warrants and our shareholders’ ability to sell our Common Stock and Public Warrants in the event we are unable to list our Common Stock and Public Warrants on another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issue equity or equity-linked securities, to obtain debt financing, or refinance existing indebtedness on satisfactory terms, or otherwise raise financing in the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and trading of the Common Stock and the Public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Company’s management team allocating their time to other businesses and potentially having conflicts of interest with the Company’s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financial performance;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success in retaining or recruiting, or changes required in, its officers, key employees, or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manage future growth;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operate in the lithium industry;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enter into and deliver products under offtake agreements;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develop new products and services, bring them to market in a timely manner, and make enhancements to its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competition on the Company’s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demand for and uses of lithium-based end products;</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domestic and foreign business, financial, political, and legal conditions;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global, regional, or local macroeconomic and market conditions;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potential litigation, government and regulatory proceedings, investigations, and inquiries;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development, effects and enforcement of laws and regulations;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maintain proper and effective internal controls over financial reporting, and the Company’s ability to produce accurate and timely financial statements;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plans, objectives, expectations, intentions and risks and uncertainties described or referenced in this Quarterly Report on Form 10-Q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our Annual Report on Form 10-K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in other documents that the Company files from time to time with the SEC.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uncertainties and other factors materialize or our assumptions prove incorrect, actual results, outcomes, performance or achievements, or the timing of such results, outcomes, performance or achievements could differ materially from those implied by these forward-looking statements. There may be additional risks, uncertainties and other factors that we do not presently know or that we currently believe are immaterial that could also cause actual results, outcomes, performance or achievements, or the timing of such results, outcomes, performance or achievements, to differ materially from those contained in the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forward-looking statements reflect our expectations, estimates, assumptions, plans or forecasts of future events and views as of the date of this Quarterly Report on Form 10-Q. We anticipate that subsequent events and developments will cause our assessments to change. Except as required by law, we assume no obligation to update any forward-looking statements publicly, or to update the reasons actual results or outcomes could differ materially from those anticipated in any forward-looking statements, whether as a result of new information, future developments, changes in assumptions or otherwise. These forward-looking statements should not be relied upon as representing our assessment as of any date subsequent to the date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inherently uncertain, and investors are cautioned not to unduly rely upon these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Quarterly Report on Form 10-Q and the documents that we reference in and have filed as exhibits to this Quarterly Report on Form 10-Q completely and with the understanding that our actual future results, outcomes, performance or achievements, or the timing of such results, outcomes, performance or achievements, may be materially different from what we expect. We qualify all of our forward-looking statements by these cautionary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iii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01"/>
      <w:bookmarkEnd w:id="33"/>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34" w:name="a_002"/>
      <w:bookmarkEnd w:id="34"/>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003"/>
      <w:bookmarkEnd w:id="35"/>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USD, except number of shares)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 w:name="xdx_30E_111_zAwedmmpgx71"/>
      <w:bookmarkStart w:id="37" w:name="xdx_30E_111_zAwedmmpgx71"/>
      <w:bookmarkEnd w:id="37"/>
    </w:p>
    <w:tbl>
      <w:tblPr>
        <w:tblW w:w="10205" w:type="dxa"/>
        <w:jc w:val="left"/>
        <w:tblInd w:w="0" w:type="dxa"/>
        <w:tblLayout w:type="fixed"/>
        <w:tblCellMar>
          <w:top w:w="0" w:type="dxa"/>
          <w:left w:w="0" w:type="dxa"/>
          <w:bottom w:w="0" w:type="dxa"/>
          <w:right w:w="0" w:type="dxa"/>
        </w:tblCellMar>
      </w:tblPr>
      <w:tblGrid>
        <w:gridCol w:w="7012"/>
        <w:gridCol w:w="60"/>
        <w:gridCol w:w="143"/>
        <w:gridCol w:w="1203"/>
        <w:gridCol w:w="95"/>
        <w:gridCol w:w="60"/>
        <w:gridCol w:w="161"/>
        <w:gridCol w:w="1358"/>
        <w:gridCol w:w="113"/>
      </w:tblGrid>
      <w:tr>
        <w:trPr/>
        <w:tc>
          <w:tcPr>
            <w:tcW w:w="70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8" w:name="xdx_494_20260630_zmgiU0WD48l3"/>
            <w:bookmarkEnd w:id="38"/>
          </w:p>
        </w:tc>
        <w:tc>
          <w:tcPr>
            <w:tcW w:w="1346" w:type="dxa"/>
            <w:gridSpan w:val="2"/>
            <w:tcBorders>
              <w:bottom w:val="single" w:sz="8" w:space="0" w:color="000000"/>
            </w:tcBorders>
            <w:tcMar>
              <w:bottom w:w="28" w:type="dxa"/>
            </w:tcMar>
            <w:vAlign w:val="center"/>
          </w:tcPr>
          <w:p>
            <w:pPr>
              <w:pStyle w:val="TableContents"/>
              <w:bidi w:val="0"/>
              <w:jc w:val="center"/>
              <w:rPr>
                <w:b/>
              </w:rPr>
            </w:pPr>
            <w:r>
              <w:rPr>
                <w:b/>
              </w:rPr>
              <w:t>As of</w:t>
            </w:r>
          </w:p>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9" w:name="xdx_498_20251231_z7zcfv0Zz871"/>
            <w:bookmarkEnd w:id="39"/>
          </w:p>
        </w:tc>
        <w:tc>
          <w:tcPr>
            <w:tcW w:w="1519" w:type="dxa"/>
            <w:gridSpan w:val="2"/>
            <w:tcBorders>
              <w:bottom w:val="single" w:sz="8" w:space="0" w:color="000000"/>
            </w:tcBorders>
            <w:tcMar>
              <w:bottom w:w="28" w:type="dxa"/>
            </w:tcMar>
            <w:vAlign w:val="center"/>
          </w:tcPr>
          <w:p>
            <w:pPr>
              <w:pStyle w:val="TableContents"/>
              <w:bidi w:val="0"/>
              <w:jc w:val="center"/>
              <w:rPr>
                <w:b/>
              </w:rPr>
            </w:pPr>
            <w:r>
              <w:rPr>
                <w:b/>
              </w:rPr>
              <w:t>As of</w:t>
            </w:r>
          </w:p>
          <w:p>
            <w:pPr>
              <w:pStyle w:val="TableContents"/>
              <w:bidi w:val="0"/>
              <w:spacing w:before="0" w:after="283"/>
              <w:jc w:val="center"/>
              <w:rPr>
                <w:b/>
              </w:rPr>
            </w:pPr>
            <w:r>
              <w:rPr>
                <w:b/>
              </w:rPr>
              <w:t>December 31, 2025</w:t>
            </w:r>
          </w:p>
        </w:tc>
        <w:tc>
          <w:tcPr>
            <w:tcW w:w="113" w:type="dxa"/>
            <w:tcBorders/>
            <w:vAlign w:val="center"/>
          </w:tcPr>
          <w:p>
            <w:pPr>
              <w:pStyle w:val="TableContents"/>
              <w:bidi w:val="0"/>
              <w:spacing w:before="0" w:after="283"/>
              <w:jc w:val="center"/>
              <w:rPr/>
            </w:pPr>
            <w:r>
              <w:rPr/>
              <w:t> </w:t>
            </w:r>
          </w:p>
        </w:tc>
      </w:tr>
      <w:tr>
        <w:trPr/>
        <w:tc>
          <w:tcPr>
            <w:tcW w:w="701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3" w:type="dxa"/>
            <w:tcBorders/>
            <w:shd w:fill="FFFFFF" w:val="clear"/>
            <w:vAlign w:val="center"/>
          </w:tcPr>
          <w:p>
            <w:pPr>
              <w:pStyle w:val="TableContents"/>
              <w:bidi w:val="0"/>
              <w:spacing w:before="0" w:after="283"/>
              <w:jc w:val="center"/>
              <w:rPr/>
            </w:pPr>
            <w:r>
              <w:rPr/>
              <w:t> </w:t>
            </w:r>
          </w:p>
        </w:tc>
        <w:tc>
          <w:tcPr>
            <w:tcW w:w="1203"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center"/>
              <w:rPr/>
            </w:pPr>
            <w:r>
              <w:rPr/>
              <w:t> </w:t>
            </w:r>
          </w:p>
        </w:tc>
        <w:tc>
          <w:tcPr>
            <w:tcW w:w="1358"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(audited)</w:t>
            </w:r>
          </w:p>
        </w:tc>
        <w:tc>
          <w:tcPr>
            <w:tcW w:w="113" w:type="dxa"/>
            <w:tcBorders/>
            <w:shd w:fill="FFFFFF" w:val="clear"/>
            <w:vAlign w:val="center"/>
          </w:tcPr>
          <w:p>
            <w:pPr>
              <w:pStyle w:val="TableContents"/>
              <w:bidi w:val="0"/>
              <w:spacing w:before="0" w:after="283"/>
              <w:jc w:val="center"/>
              <w:rPr/>
            </w:pPr>
            <w:r>
              <w:rPr/>
              <w:t> </w:t>
            </w:r>
            <w:bookmarkStart w:id="40" w:name="xdx_409_eus-gaap--AssetsAbstract_iB_zcFW"/>
            <w:bookmarkEnd w:id="40"/>
          </w:p>
        </w:tc>
      </w:tr>
      <w:tr>
        <w:trPr/>
        <w:tc>
          <w:tcPr>
            <w:tcW w:w="7012"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1" w:name="xdx_40C_eus-gaap--AssetsCurrentAbstract_"/>
            <w:bookmarkEnd w:id="41"/>
          </w:p>
        </w:tc>
      </w:tr>
      <w:tr>
        <w:trPr/>
        <w:tc>
          <w:tcPr>
            <w:tcW w:w="7012"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2" w:name="xdx_401_eus-gaap--CashAndCashEquivalents"/>
            <w:bookmarkEnd w:id="42"/>
          </w:p>
        </w:tc>
      </w:tr>
      <w:tr>
        <w:trPr/>
        <w:tc>
          <w:tcPr>
            <w:tcW w:w="7012"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540,264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3,480,151</w:t>
            </w:r>
          </w:p>
        </w:tc>
        <w:tc>
          <w:tcPr>
            <w:tcW w:w="113" w:type="dxa"/>
            <w:tcBorders/>
            <w:shd w:fill="CCEEFF" w:val="clear"/>
            <w:vAlign w:val="center"/>
          </w:tcPr>
          <w:p>
            <w:pPr>
              <w:pStyle w:val="TableContents"/>
              <w:bidi w:val="0"/>
              <w:spacing w:before="0" w:after="283"/>
              <w:jc w:val="left"/>
              <w:rPr/>
            </w:pPr>
            <w:r>
              <w:rPr/>
              <w:t> </w:t>
            </w:r>
            <w:bookmarkStart w:id="43" w:name="xdx_40D_eus-gaap--PrepaidExpenseAndOther"/>
            <w:bookmarkEnd w:id="43"/>
          </w:p>
        </w:tc>
      </w:tr>
      <w:tr>
        <w:trPr/>
        <w:tc>
          <w:tcPr>
            <w:tcW w:w="7012"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264,269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573,834</w:t>
            </w:r>
          </w:p>
        </w:tc>
        <w:tc>
          <w:tcPr>
            <w:tcW w:w="113" w:type="dxa"/>
            <w:tcBorders/>
            <w:shd w:fill="FFFFFF" w:val="clear"/>
            <w:vAlign w:val="center"/>
          </w:tcPr>
          <w:p>
            <w:pPr>
              <w:pStyle w:val="TableContents"/>
              <w:bidi w:val="0"/>
              <w:spacing w:before="0" w:after="283"/>
              <w:jc w:val="left"/>
              <w:rPr/>
            </w:pPr>
            <w:r>
              <w:rPr/>
              <w:t> </w:t>
            </w:r>
            <w:bookmarkStart w:id="44" w:name="xdx_409_eus-gaap--DeferredCostsCurrent_i"/>
            <w:bookmarkEnd w:id="44"/>
          </w:p>
        </w:tc>
      </w:tr>
      <w:tr>
        <w:trPr/>
        <w:tc>
          <w:tcPr>
            <w:tcW w:w="7012" w:type="dxa"/>
            <w:tcBorders/>
            <w:shd w:fill="CCEEFF" w:val="clear"/>
            <w:vAlign w:val="center"/>
          </w:tcPr>
          <w:p>
            <w:pPr>
              <w:pStyle w:val="TableContents"/>
              <w:bidi w:val="0"/>
              <w:spacing w:before="0" w:after="283"/>
              <w:jc w:val="left"/>
              <w:rPr/>
            </w:pPr>
            <w:r>
              <w:rPr/>
              <w:t>Deferred transaction costs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104,291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25,000</w:t>
            </w:r>
          </w:p>
        </w:tc>
        <w:tc>
          <w:tcPr>
            <w:tcW w:w="113" w:type="dxa"/>
            <w:tcBorders/>
            <w:shd w:fill="CCEEFF" w:val="clear"/>
            <w:vAlign w:val="center"/>
          </w:tcPr>
          <w:p>
            <w:pPr>
              <w:pStyle w:val="TableContents"/>
              <w:bidi w:val="0"/>
              <w:spacing w:before="0" w:after="283"/>
              <w:jc w:val="left"/>
              <w:rPr/>
            </w:pPr>
            <w:r>
              <w:rPr/>
              <w:t> </w:t>
            </w:r>
            <w:bookmarkStart w:id="45" w:name="xdx_40C_eus-gaap--AssetsCurrent_i01TI_mt"/>
            <w:bookmarkEnd w:id="45"/>
          </w:p>
        </w:tc>
      </w:tr>
      <w:tr>
        <w:trPr/>
        <w:tc>
          <w:tcPr>
            <w:tcW w:w="7012"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b/>
              </w:rPr>
            </w:pPr>
            <w:r>
              <w:rPr>
                <w:b/>
              </w:rPr>
              <w:t>$</w:t>
            </w:r>
          </w:p>
        </w:tc>
        <w:tc>
          <w:tcPr>
            <w:tcW w:w="1203" w:type="dxa"/>
            <w:tcBorders/>
            <w:shd w:fill="FFFFFF" w:val="clear"/>
            <w:vAlign w:val="center"/>
          </w:tcPr>
          <w:p>
            <w:pPr>
              <w:pStyle w:val="TableContents"/>
              <w:bidi w:val="0"/>
              <w:spacing w:before="0" w:after="283"/>
              <w:jc w:val="right"/>
              <w:rPr>
                <w:b/>
              </w:rPr>
            </w:pPr>
            <w:r>
              <w:rPr>
                <w:b/>
              </w:rPr>
              <w:t>908,824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b/>
              </w:rPr>
            </w:pPr>
            <w:r>
              <w:rPr>
                <w:b/>
              </w:rPr>
              <w:t>$</w:t>
            </w:r>
          </w:p>
        </w:tc>
        <w:tc>
          <w:tcPr>
            <w:tcW w:w="1358" w:type="dxa"/>
            <w:tcBorders/>
            <w:shd w:fill="FFFFFF" w:val="clear"/>
            <w:vAlign w:val="center"/>
          </w:tcPr>
          <w:p>
            <w:pPr>
              <w:pStyle w:val="TableContents"/>
              <w:bidi w:val="0"/>
              <w:spacing w:before="0" w:after="283"/>
              <w:jc w:val="right"/>
              <w:rPr>
                <w:b/>
              </w:rPr>
            </w:pPr>
            <w:r>
              <w:rPr>
                <w:b/>
              </w:rPr>
              <w:t>4,078,985</w:t>
            </w:r>
          </w:p>
        </w:tc>
        <w:tc>
          <w:tcPr>
            <w:tcW w:w="113" w:type="dxa"/>
            <w:tcBorders/>
            <w:shd w:fill="FFFFFF" w:val="clear"/>
            <w:vAlign w:val="center"/>
          </w:tcPr>
          <w:p>
            <w:pPr>
              <w:pStyle w:val="TableContents"/>
              <w:bidi w:val="0"/>
              <w:spacing w:before="0" w:after="283"/>
              <w:jc w:val="left"/>
              <w:rPr/>
            </w:pPr>
            <w:r>
              <w:rPr/>
              <w:t> </w:t>
            </w:r>
            <w:bookmarkStart w:id="46" w:name="xdx_40B_eus-gaap--PropertyPlantAndEquipm"/>
            <w:bookmarkEnd w:id="46"/>
          </w:p>
        </w:tc>
      </w:tr>
      <w:tr>
        <w:trPr/>
        <w:tc>
          <w:tcPr>
            <w:tcW w:w="7012"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1,782,505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1,757,271</w:t>
            </w:r>
          </w:p>
        </w:tc>
        <w:tc>
          <w:tcPr>
            <w:tcW w:w="113" w:type="dxa"/>
            <w:tcBorders/>
            <w:shd w:fill="CCEEFF" w:val="clear"/>
            <w:vAlign w:val="center"/>
          </w:tcPr>
          <w:p>
            <w:pPr>
              <w:pStyle w:val="TableContents"/>
              <w:bidi w:val="0"/>
              <w:spacing w:before="0" w:after="283"/>
              <w:jc w:val="left"/>
              <w:rPr/>
            </w:pPr>
            <w:r>
              <w:rPr/>
              <w:t> </w:t>
            </w:r>
            <w:bookmarkStart w:id="47" w:name="xdx_401_ecustom--CapitalProjectCosts_i01"/>
            <w:bookmarkEnd w:id="47"/>
          </w:p>
        </w:tc>
      </w:tr>
      <w:tr>
        <w:trPr/>
        <w:tc>
          <w:tcPr>
            <w:tcW w:w="7012" w:type="dxa"/>
            <w:tcBorders/>
            <w:shd w:fill="FFFFFF" w:val="clear"/>
            <w:vAlign w:val="center"/>
          </w:tcPr>
          <w:p>
            <w:pPr>
              <w:pStyle w:val="TableContents"/>
              <w:bidi w:val="0"/>
              <w:spacing w:before="0" w:after="283"/>
              <w:jc w:val="left"/>
              <w:rPr/>
            </w:pPr>
            <w:r>
              <w:rPr/>
              <w:t>Capital project costs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5,484,180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5,354,493</w:t>
            </w:r>
          </w:p>
        </w:tc>
        <w:tc>
          <w:tcPr>
            <w:tcW w:w="113" w:type="dxa"/>
            <w:tcBorders/>
            <w:shd w:fill="FFFFFF" w:val="clear"/>
            <w:vAlign w:val="center"/>
          </w:tcPr>
          <w:p>
            <w:pPr>
              <w:pStyle w:val="TableContents"/>
              <w:bidi w:val="0"/>
              <w:spacing w:before="0" w:after="283"/>
              <w:jc w:val="left"/>
              <w:rPr/>
            </w:pPr>
            <w:r>
              <w:rPr/>
              <w:t> </w:t>
            </w:r>
            <w:bookmarkStart w:id="48" w:name="xdx_403_eus-gaap--MarketableSecuritiesNo"/>
            <w:bookmarkEnd w:id="48"/>
          </w:p>
        </w:tc>
      </w:tr>
      <w:tr>
        <w:trPr/>
        <w:tc>
          <w:tcPr>
            <w:tcW w:w="7012" w:type="dxa"/>
            <w:tcBorders/>
            <w:shd w:fill="CCEEFF" w:val="clear"/>
            <w:vAlign w:val="center"/>
          </w:tcPr>
          <w:p>
            <w:pPr>
              <w:pStyle w:val="TableContents"/>
              <w:bidi w:val="0"/>
              <w:spacing w:before="0" w:after="283"/>
              <w:jc w:val="left"/>
              <w:rPr/>
            </w:pPr>
            <w:r>
              <w:rPr/>
              <w:t>Investment in equity securities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28,802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37,374</w:t>
            </w:r>
          </w:p>
        </w:tc>
        <w:tc>
          <w:tcPr>
            <w:tcW w:w="113" w:type="dxa"/>
            <w:tcBorders/>
            <w:shd w:fill="CCEEFF" w:val="clear"/>
            <w:vAlign w:val="center"/>
          </w:tcPr>
          <w:p>
            <w:pPr>
              <w:pStyle w:val="TableContents"/>
              <w:bidi w:val="0"/>
              <w:spacing w:before="0" w:after="283"/>
              <w:jc w:val="left"/>
              <w:rPr/>
            </w:pPr>
            <w:r>
              <w:rPr/>
              <w:t> </w:t>
            </w:r>
            <w:bookmarkStart w:id="49" w:name="xdx_409_eus-gaap--OperatingLeaseRightOfU"/>
            <w:bookmarkEnd w:id="49"/>
          </w:p>
        </w:tc>
      </w:tr>
      <w:tr>
        <w:trPr/>
        <w:tc>
          <w:tcPr>
            <w:tcW w:w="7012" w:type="dxa"/>
            <w:tcBorders/>
            <w:shd w:fill="FFFFFF" w:val="clear"/>
            <w:vAlign w:val="center"/>
          </w:tcPr>
          <w:p>
            <w:pPr>
              <w:pStyle w:val="TableContents"/>
              <w:bidi w:val="0"/>
              <w:spacing w:before="0" w:after="283"/>
              <w:jc w:val="left"/>
              <w:rPr/>
            </w:pPr>
            <w:r>
              <w:rPr/>
              <w:t>Right of use asset, net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157,444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50" w:name="xdx_401_eus-gaap--OtherLongTermInvestmen"/>
            <w:bookmarkEnd w:id="50"/>
          </w:p>
        </w:tc>
      </w:tr>
      <w:tr>
        <w:trPr/>
        <w:tc>
          <w:tcPr>
            <w:tcW w:w="7012" w:type="dxa"/>
            <w:tcBorders/>
            <w:shd w:fill="CCEEFF" w:val="clear"/>
            <w:vAlign w:val="center"/>
          </w:tcPr>
          <w:p>
            <w:pPr>
              <w:pStyle w:val="TableContents"/>
              <w:bidi w:val="0"/>
              <w:spacing w:before="0" w:after="283"/>
              <w:jc w:val="left"/>
              <w:rPr/>
            </w:pPr>
            <w:r>
              <w:rPr/>
              <w:t>Other long-term assets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692,904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547,169</w:t>
            </w:r>
          </w:p>
        </w:tc>
        <w:tc>
          <w:tcPr>
            <w:tcW w:w="113" w:type="dxa"/>
            <w:tcBorders/>
            <w:shd w:fill="CCEEFF" w:val="clear"/>
            <w:vAlign w:val="center"/>
          </w:tcPr>
          <w:p>
            <w:pPr>
              <w:pStyle w:val="TableContents"/>
              <w:bidi w:val="0"/>
              <w:spacing w:before="0" w:after="283"/>
              <w:jc w:val="left"/>
              <w:rPr/>
            </w:pPr>
            <w:r>
              <w:rPr/>
              <w:t> </w:t>
            </w:r>
            <w:bookmarkStart w:id="51" w:name="xdx_400_eus-gaap--Assets_i01TI_mtAzPPj_z"/>
            <w:bookmarkEnd w:id="51"/>
          </w:p>
        </w:tc>
      </w:tr>
      <w:tr>
        <w:trPr/>
        <w:tc>
          <w:tcPr>
            <w:tcW w:w="7012"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9,054,659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5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11,775,292</w:t>
            </w:r>
          </w:p>
        </w:tc>
        <w:tc>
          <w:tcPr>
            <w:tcW w:w="113" w:type="dxa"/>
            <w:tcBorders/>
            <w:shd w:fill="FFFFFF" w:val="clear"/>
            <w:vAlign w:val="center"/>
          </w:tcPr>
          <w:p>
            <w:pPr>
              <w:pStyle w:val="TableContents"/>
              <w:bidi w:val="0"/>
              <w:spacing w:before="0" w:after="283"/>
              <w:jc w:val="left"/>
              <w:rPr/>
            </w:pPr>
            <w:r>
              <w:rPr/>
              <w:t> </w:t>
            </w:r>
          </w:p>
        </w:tc>
      </w:tr>
      <w:tr>
        <w:trPr/>
        <w:tc>
          <w:tcPr>
            <w:tcW w:w="70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2" w:name="xdx_409_eus-gaap--LiabilitiesAndStockhol"/>
            <w:bookmarkEnd w:id="52"/>
          </w:p>
        </w:tc>
      </w:tr>
      <w:tr>
        <w:trPr/>
        <w:tc>
          <w:tcPr>
            <w:tcW w:w="7012" w:type="dxa"/>
            <w:tcBorders/>
            <w:shd w:fill="FFFFFF" w:val="clear"/>
            <w:vAlign w:val="center"/>
          </w:tcPr>
          <w:p>
            <w:pPr>
              <w:pStyle w:val="TableContents"/>
              <w:bidi w:val="0"/>
              <w:spacing w:before="0" w:after="283"/>
              <w:jc w:val="left"/>
              <w:rPr>
                <w:b/>
              </w:rPr>
            </w:pPr>
            <w:r>
              <w:rPr>
                <w:b/>
              </w:rPr>
              <w:t>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3" w:name="xdx_402_eus-gaap--LiabilitiesCurrentAbst"/>
            <w:bookmarkEnd w:id="53"/>
          </w:p>
        </w:tc>
      </w:tr>
      <w:tr>
        <w:trPr/>
        <w:tc>
          <w:tcPr>
            <w:tcW w:w="7012"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4" w:name="xdx_40D_eus-gaap--AccountsPayableCurrent"/>
            <w:bookmarkEnd w:id="54"/>
          </w:p>
        </w:tc>
      </w:tr>
      <w:tr>
        <w:trPr/>
        <w:tc>
          <w:tcPr>
            <w:tcW w:w="7012"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203" w:type="dxa"/>
            <w:tcBorders/>
            <w:shd w:fill="FFFFFF" w:val="clear"/>
            <w:vAlign w:val="center"/>
          </w:tcPr>
          <w:p>
            <w:pPr>
              <w:pStyle w:val="TableContents"/>
              <w:bidi w:val="0"/>
              <w:spacing w:before="0" w:after="283"/>
              <w:jc w:val="right"/>
              <w:rPr/>
            </w:pPr>
            <w:r>
              <w:rPr/>
              <w:t>8,719,997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1358" w:type="dxa"/>
            <w:tcBorders/>
            <w:shd w:fill="FFFFFF" w:val="clear"/>
            <w:vAlign w:val="center"/>
          </w:tcPr>
          <w:p>
            <w:pPr>
              <w:pStyle w:val="TableContents"/>
              <w:bidi w:val="0"/>
              <w:spacing w:before="0" w:after="283"/>
              <w:jc w:val="right"/>
              <w:rPr/>
            </w:pPr>
            <w:r>
              <w:rPr/>
              <w:t>8,305,096</w:t>
            </w:r>
          </w:p>
        </w:tc>
        <w:tc>
          <w:tcPr>
            <w:tcW w:w="113" w:type="dxa"/>
            <w:tcBorders/>
            <w:shd w:fill="FFFFFF" w:val="clear"/>
            <w:vAlign w:val="center"/>
          </w:tcPr>
          <w:p>
            <w:pPr>
              <w:pStyle w:val="TableContents"/>
              <w:bidi w:val="0"/>
              <w:spacing w:before="0" w:after="283"/>
              <w:jc w:val="left"/>
              <w:rPr/>
            </w:pPr>
            <w:r>
              <w:rPr/>
              <w:t> </w:t>
            </w:r>
            <w:bookmarkStart w:id="55" w:name="xdx_403_eus-gaap--AccountsPayableAndOthe"/>
            <w:bookmarkEnd w:id="55"/>
          </w:p>
        </w:tc>
      </w:tr>
      <w:tr>
        <w:trPr/>
        <w:tc>
          <w:tcPr>
            <w:tcW w:w="7012" w:type="dxa"/>
            <w:tcBorders/>
            <w:shd w:fill="CCEEFF" w:val="clear"/>
            <w:vAlign w:val="center"/>
          </w:tcPr>
          <w:p>
            <w:pPr>
              <w:pStyle w:val="TableContents"/>
              <w:bidi w:val="0"/>
              <w:spacing w:before="0" w:after="283"/>
              <w:jc w:val="left"/>
              <w:rPr/>
            </w:pPr>
            <w:r>
              <w:rPr/>
              <w:t>Accrued liabilities and other 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4,088,736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4,836,999</w:t>
            </w:r>
          </w:p>
        </w:tc>
        <w:tc>
          <w:tcPr>
            <w:tcW w:w="113" w:type="dxa"/>
            <w:tcBorders/>
            <w:shd w:fill="CCEEFF" w:val="clear"/>
            <w:vAlign w:val="center"/>
          </w:tcPr>
          <w:p>
            <w:pPr>
              <w:pStyle w:val="TableContents"/>
              <w:bidi w:val="0"/>
              <w:spacing w:before="0" w:after="283"/>
              <w:jc w:val="left"/>
              <w:rPr/>
            </w:pPr>
            <w:r>
              <w:rPr/>
              <w:t> </w:t>
            </w:r>
            <w:bookmarkStart w:id="56" w:name="xdx_404_eus-gaap--DeferredCompensationLi"/>
            <w:bookmarkEnd w:id="56"/>
          </w:p>
        </w:tc>
      </w:tr>
      <w:tr>
        <w:trPr/>
        <w:tc>
          <w:tcPr>
            <w:tcW w:w="7012" w:type="dxa"/>
            <w:tcBorders/>
            <w:shd w:fill="FFFFFF" w:val="clear"/>
            <w:vAlign w:val="center"/>
          </w:tcPr>
          <w:p>
            <w:pPr>
              <w:pStyle w:val="TableContents"/>
              <w:bidi w:val="0"/>
              <w:spacing w:before="0" w:after="283"/>
              <w:jc w:val="left"/>
              <w:rPr/>
            </w:pPr>
            <w:r>
              <w:rPr/>
              <w:t>Current portion of early exercised shares option liability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925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1,122</w:t>
            </w:r>
          </w:p>
        </w:tc>
        <w:tc>
          <w:tcPr>
            <w:tcW w:w="113" w:type="dxa"/>
            <w:tcBorders/>
            <w:shd w:fill="FFFFFF" w:val="clear"/>
            <w:vAlign w:val="center"/>
          </w:tcPr>
          <w:p>
            <w:pPr>
              <w:pStyle w:val="TableContents"/>
              <w:bidi w:val="0"/>
              <w:spacing w:before="0" w:after="283"/>
              <w:jc w:val="left"/>
              <w:rPr/>
            </w:pPr>
            <w:r>
              <w:rPr/>
              <w:t> </w:t>
            </w:r>
            <w:bookmarkStart w:id="57" w:name="xdx_40E_eus-gaap--ConvertibleNotesPayabl"/>
            <w:bookmarkEnd w:id="57"/>
          </w:p>
        </w:tc>
      </w:tr>
      <w:tr>
        <w:trPr/>
        <w:tc>
          <w:tcPr>
            <w:tcW w:w="7012" w:type="dxa"/>
            <w:tcBorders/>
            <w:shd w:fill="CCEEFF" w:val="clear"/>
            <w:vAlign w:val="center"/>
          </w:tcPr>
          <w:p>
            <w:pPr>
              <w:pStyle w:val="TableContents"/>
              <w:bidi w:val="0"/>
              <w:spacing w:before="0" w:after="283"/>
              <w:jc w:val="left"/>
              <w:rPr/>
            </w:pPr>
            <w:r>
              <w:rPr/>
              <w:t>Current portion of convertible note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2,029,935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933,022</w:t>
            </w:r>
          </w:p>
        </w:tc>
        <w:tc>
          <w:tcPr>
            <w:tcW w:w="113" w:type="dxa"/>
            <w:tcBorders/>
            <w:shd w:fill="CCEEFF" w:val="clear"/>
            <w:vAlign w:val="center"/>
          </w:tcPr>
          <w:p>
            <w:pPr>
              <w:pStyle w:val="TableContents"/>
              <w:bidi w:val="0"/>
              <w:spacing w:before="0" w:after="283"/>
              <w:jc w:val="left"/>
              <w:rPr/>
            </w:pPr>
            <w:r>
              <w:rPr/>
              <w:t> </w:t>
            </w:r>
            <w:bookmarkStart w:id="58" w:name="xdx_406_eus-gaap--OperatingLeaseLiabilit"/>
            <w:bookmarkEnd w:id="58"/>
          </w:p>
        </w:tc>
      </w:tr>
      <w:tr>
        <w:trPr/>
        <w:tc>
          <w:tcPr>
            <w:tcW w:w="7012" w:type="dxa"/>
            <w:tcBorders/>
            <w:shd w:fill="FFFFFF" w:val="clear"/>
            <w:vAlign w:val="center"/>
          </w:tcPr>
          <w:p>
            <w:pPr>
              <w:pStyle w:val="TableContents"/>
              <w:bidi w:val="0"/>
              <w:spacing w:before="0" w:after="283"/>
              <w:jc w:val="left"/>
              <w:rPr/>
            </w:pPr>
            <w:r>
              <w:rPr/>
              <w:t>Current portion of lease liability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90,527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59" w:name="xdx_402_eus-gaap--ShortTermBorrowings_i0"/>
            <w:bookmarkEnd w:id="59"/>
          </w:p>
        </w:tc>
      </w:tr>
      <w:tr>
        <w:trPr/>
        <w:tc>
          <w:tcPr>
            <w:tcW w:w="7012" w:type="dxa"/>
            <w:tcBorders/>
            <w:shd w:fill="CCEEFF" w:val="clear"/>
            <w:vAlign w:val="center"/>
          </w:tcPr>
          <w:p>
            <w:pPr>
              <w:pStyle w:val="TableContents"/>
              <w:bidi w:val="0"/>
              <w:spacing w:before="0" w:after="283"/>
              <w:jc w:val="left"/>
              <w:rPr/>
            </w:pPr>
            <w:r>
              <w:rPr/>
              <w:t>Short-term loans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205,403</w:t>
            </w:r>
          </w:p>
        </w:tc>
        <w:tc>
          <w:tcPr>
            <w:tcW w:w="113" w:type="dxa"/>
            <w:tcBorders/>
            <w:shd w:fill="CCEEFF" w:val="clear"/>
            <w:vAlign w:val="center"/>
          </w:tcPr>
          <w:p>
            <w:pPr>
              <w:pStyle w:val="TableContents"/>
              <w:bidi w:val="0"/>
              <w:spacing w:before="0" w:after="283"/>
              <w:jc w:val="left"/>
              <w:rPr/>
            </w:pPr>
            <w:r>
              <w:rPr/>
              <w:t> </w:t>
            </w:r>
            <w:bookmarkStart w:id="60" w:name="xdx_407_eus-gaap--LiabilitiesCurrent_i01"/>
            <w:bookmarkEnd w:id="60"/>
          </w:p>
        </w:tc>
      </w:tr>
      <w:tr>
        <w:trPr/>
        <w:tc>
          <w:tcPr>
            <w:tcW w:w="7012"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b/>
              </w:rPr>
            </w:pPr>
            <w:r>
              <w:rPr>
                <w:b/>
              </w:rPr>
              <w:t>$</w:t>
            </w:r>
          </w:p>
        </w:tc>
        <w:tc>
          <w:tcPr>
            <w:tcW w:w="1203" w:type="dxa"/>
            <w:tcBorders/>
            <w:shd w:fill="FFFFFF" w:val="clear"/>
            <w:vAlign w:val="center"/>
          </w:tcPr>
          <w:p>
            <w:pPr>
              <w:pStyle w:val="TableContents"/>
              <w:bidi w:val="0"/>
              <w:spacing w:before="0" w:after="283"/>
              <w:jc w:val="right"/>
              <w:rPr>
                <w:b/>
              </w:rPr>
            </w:pPr>
            <w:r>
              <w:rPr>
                <w:b/>
              </w:rPr>
              <w:t>14,930,120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b/>
              </w:rPr>
            </w:pPr>
            <w:r>
              <w:rPr>
                <w:b/>
              </w:rPr>
              <w:t>$</w:t>
            </w:r>
          </w:p>
        </w:tc>
        <w:tc>
          <w:tcPr>
            <w:tcW w:w="1358" w:type="dxa"/>
            <w:tcBorders/>
            <w:shd w:fill="FFFFFF" w:val="clear"/>
            <w:vAlign w:val="center"/>
          </w:tcPr>
          <w:p>
            <w:pPr>
              <w:pStyle w:val="TableContents"/>
              <w:bidi w:val="0"/>
              <w:spacing w:before="0" w:after="283"/>
              <w:jc w:val="right"/>
              <w:rPr>
                <w:b/>
              </w:rPr>
            </w:pPr>
            <w:r>
              <w:rPr>
                <w:b/>
              </w:rPr>
              <w:t>14,281,642</w:t>
            </w:r>
          </w:p>
        </w:tc>
        <w:tc>
          <w:tcPr>
            <w:tcW w:w="113" w:type="dxa"/>
            <w:tcBorders/>
            <w:shd w:fill="FFFFFF" w:val="clear"/>
            <w:vAlign w:val="center"/>
          </w:tcPr>
          <w:p>
            <w:pPr>
              <w:pStyle w:val="TableContents"/>
              <w:bidi w:val="0"/>
              <w:spacing w:before="0" w:after="283"/>
              <w:jc w:val="left"/>
              <w:rPr/>
            </w:pPr>
            <w:r>
              <w:rPr/>
              <w:t> </w:t>
            </w:r>
            <w:bookmarkStart w:id="61" w:name="xdx_40E_eus-gaap--DerivativeLiabilities_"/>
            <w:bookmarkEnd w:id="61"/>
          </w:p>
        </w:tc>
      </w:tr>
      <w:tr>
        <w:trPr/>
        <w:tc>
          <w:tcPr>
            <w:tcW w:w="7012" w:type="dxa"/>
            <w:tcBorders/>
            <w:shd w:fill="CCEEFF" w:val="clear"/>
            <w:vAlign w:val="center"/>
          </w:tcPr>
          <w:p>
            <w:pPr>
              <w:pStyle w:val="TableContents"/>
              <w:bidi w:val="0"/>
              <w:spacing w:before="0" w:after="283"/>
              <w:jc w:val="left"/>
              <w:rPr/>
            </w:pPr>
            <w:r>
              <w:rPr/>
              <w:t>Warrant liability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1,157,818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1,042,036</w:t>
            </w:r>
          </w:p>
        </w:tc>
        <w:tc>
          <w:tcPr>
            <w:tcW w:w="113" w:type="dxa"/>
            <w:tcBorders/>
            <w:shd w:fill="CCEEFF" w:val="clear"/>
            <w:vAlign w:val="center"/>
          </w:tcPr>
          <w:p>
            <w:pPr>
              <w:pStyle w:val="TableContents"/>
              <w:bidi w:val="0"/>
              <w:spacing w:before="0" w:after="283"/>
              <w:jc w:val="left"/>
              <w:rPr/>
            </w:pPr>
            <w:r>
              <w:rPr/>
              <w:t> </w:t>
            </w:r>
            <w:bookmarkStart w:id="62" w:name="xdx_40C_ecustom--EarnoutLiability_i01I_m"/>
            <w:bookmarkEnd w:id="62"/>
          </w:p>
        </w:tc>
      </w:tr>
      <w:tr>
        <w:trPr/>
        <w:tc>
          <w:tcPr>
            <w:tcW w:w="7012"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4,700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4,700</w:t>
            </w:r>
          </w:p>
        </w:tc>
        <w:tc>
          <w:tcPr>
            <w:tcW w:w="113" w:type="dxa"/>
            <w:tcBorders/>
            <w:shd w:fill="FFFFFF" w:val="clear"/>
            <w:vAlign w:val="center"/>
          </w:tcPr>
          <w:p>
            <w:pPr>
              <w:pStyle w:val="TableContents"/>
              <w:bidi w:val="0"/>
              <w:spacing w:before="0" w:after="283"/>
              <w:jc w:val="left"/>
              <w:rPr/>
            </w:pPr>
            <w:r>
              <w:rPr/>
              <w:t> </w:t>
            </w:r>
            <w:bookmarkStart w:id="63" w:name="xdx_40D_eus-gaap--ConvertibleLongTermNot"/>
            <w:bookmarkEnd w:id="63"/>
          </w:p>
        </w:tc>
      </w:tr>
      <w:tr>
        <w:trPr/>
        <w:tc>
          <w:tcPr>
            <w:tcW w:w="7012" w:type="dxa"/>
            <w:tcBorders/>
            <w:shd w:fill="CCEEFF" w:val="clear"/>
            <w:vAlign w:val="center"/>
          </w:tcPr>
          <w:p>
            <w:pPr>
              <w:pStyle w:val="TableContents"/>
              <w:bidi w:val="0"/>
              <w:spacing w:before="0" w:after="283"/>
              <w:jc w:val="left"/>
              <w:rPr/>
            </w:pPr>
            <w:r>
              <w:rPr/>
              <w:t>Convertible note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1,135,780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2,259,984</w:t>
            </w:r>
          </w:p>
        </w:tc>
        <w:tc>
          <w:tcPr>
            <w:tcW w:w="113" w:type="dxa"/>
            <w:tcBorders/>
            <w:shd w:fill="CCEEFF" w:val="clear"/>
            <w:vAlign w:val="center"/>
          </w:tcPr>
          <w:p>
            <w:pPr>
              <w:pStyle w:val="TableContents"/>
              <w:bidi w:val="0"/>
              <w:spacing w:before="0" w:after="283"/>
              <w:jc w:val="left"/>
              <w:rPr/>
            </w:pPr>
            <w:r>
              <w:rPr/>
              <w:t> </w:t>
            </w:r>
            <w:bookmarkStart w:id="64" w:name="xdx_40F_eus-gaap--OperatingLeaseLiabilit"/>
            <w:bookmarkEnd w:id="64"/>
          </w:p>
        </w:tc>
      </w:tr>
      <w:tr>
        <w:trPr/>
        <w:tc>
          <w:tcPr>
            <w:tcW w:w="7012"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66,917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65" w:name="xdx_407_eus-gaap--DeferredCompensationLi"/>
            <w:bookmarkEnd w:id="65"/>
          </w:p>
        </w:tc>
      </w:tr>
      <w:tr>
        <w:trPr/>
        <w:tc>
          <w:tcPr>
            <w:tcW w:w="7012" w:type="dxa"/>
            <w:tcBorders/>
            <w:shd w:fill="CCEEFF" w:val="clear"/>
            <w:vAlign w:val="center"/>
          </w:tcPr>
          <w:p>
            <w:pPr>
              <w:pStyle w:val="TableContents"/>
              <w:bidi w:val="0"/>
              <w:spacing w:before="0" w:after="283"/>
              <w:jc w:val="left"/>
              <w:rPr/>
            </w:pPr>
            <w:r>
              <w:rPr/>
              <w:t>Early exercised shares option liability</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613</w:t>
            </w:r>
          </w:p>
        </w:tc>
        <w:tc>
          <w:tcPr>
            <w:tcW w:w="113" w:type="dxa"/>
            <w:tcBorders/>
            <w:shd w:fill="CCEEFF" w:val="clear"/>
            <w:vAlign w:val="center"/>
          </w:tcPr>
          <w:p>
            <w:pPr>
              <w:pStyle w:val="TableContents"/>
              <w:bidi w:val="0"/>
              <w:spacing w:before="0" w:after="283"/>
              <w:jc w:val="left"/>
              <w:rPr/>
            </w:pPr>
            <w:r>
              <w:rPr/>
              <w:t> </w:t>
            </w:r>
            <w:bookmarkStart w:id="66" w:name="xdx_407_eus-gaap--Liabilities_i01TI_mtLz"/>
            <w:bookmarkEnd w:id="66"/>
          </w:p>
        </w:tc>
      </w:tr>
      <w:tr>
        <w:trPr/>
        <w:tc>
          <w:tcPr>
            <w:tcW w:w="7012"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17,295,519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5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17,588,975</w:t>
            </w:r>
          </w:p>
        </w:tc>
        <w:tc>
          <w:tcPr>
            <w:tcW w:w="113" w:type="dxa"/>
            <w:tcBorders/>
            <w:shd w:fill="FFFFFF" w:val="clear"/>
            <w:vAlign w:val="center"/>
          </w:tcPr>
          <w:p>
            <w:pPr>
              <w:pStyle w:val="TableContents"/>
              <w:bidi w:val="0"/>
              <w:spacing w:before="0" w:after="283"/>
              <w:jc w:val="left"/>
              <w:rPr/>
            </w:pPr>
            <w:r>
              <w:rPr/>
              <w:t> </w:t>
            </w:r>
          </w:p>
        </w:tc>
      </w:tr>
      <w:tr>
        <w:trPr/>
        <w:tc>
          <w:tcPr>
            <w:tcW w:w="70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7" w:name="xdx_40B_eus-gaap--CommitmentsAndContinge"/>
            <w:bookmarkEnd w:id="67"/>
          </w:p>
        </w:tc>
      </w:tr>
      <w:tr>
        <w:trPr/>
        <w:tc>
          <w:tcPr>
            <w:tcW w:w="7012" w:type="dxa"/>
            <w:tcBorders/>
            <w:shd w:fill="FFFFFF" w:val="clear"/>
            <w:vAlign w:val="center"/>
          </w:tcPr>
          <w:p>
            <w:pPr>
              <w:pStyle w:val="TableContents"/>
              <w:bidi w:val="0"/>
              <w:spacing w:before="0" w:after="283"/>
              <w:jc w:val="left"/>
              <w:rPr/>
            </w:pPr>
            <w:r>
              <w:rPr/>
              <w:t>Commitments and contingencies (Note 3)</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FFFFFF" w:val="clear"/>
            <w:vAlign w:val="center"/>
          </w:tcPr>
          <w:p>
            <w:pPr>
              <w:pStyle w:val="TableContents"/>
              <w:bidi w:val="0"/>
              <w:spacing w:before="0" w:after="283"/>
              <w:jc w:val="left"/>
              <w:rPr/>
            </w:pPr>
            <w:r>
              <w:rPr/>
              <w:t> </w:t>
            </w:r>
          </w:p>
        </w:tc>
      </w:tr>
      <w:tr>
        <w:trPr/>
        <w:tc>
          <w:tcPr>
            <w:tcW w:w="70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8" w:name="xdx_408_eus-gaap--StockholdersEquityAbst"/>
            <w:bookmarkEnd w:id="68"/>
          </w:p>
        </w:tc>
      </w:tr>
      <w:tr>
        <w:trPr/>
        <w:tc>
          <w:tcPr>
            <w:tcW w:w="7012" w:type="dxa"/>
            <w:tcBorders/>
            <w:shd w:fill="FFFFFF" w:val="clear"/>
            <w:vAlign w:val="center"/>
          </w:tcPr>
          <w:p>
            <w:pPr>
              <w:pStyle w:val="TableContents"/>
              <w:bidi w:val="0"/>
              <w:spacing w:before="0" w:after="283"/>
              <w:jc w:val="left"/>
              <w:rPr>
                <w:b/>
              </w:rPr>
            </w:pPr>
            <w:r>
              <w:rPr>
                <w:b/>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9" w:name="xdx_40D_eus-gaap--PreferredStockValue_i0"/>
            <w:bookmarkEnd w:id="69"/>
          </w:p>
        </w:tc>
      </w:tr>
      <w:tr>
        <w:trPr/>
        <w:tc>
          <w:tcPr>
            <w:tcW w:w="7012" w:type="dxa"/>
            <w:tcBorders/>
            <w:shd w:fill="CCEEFF" w:val="clear"/>
            <w:vAlign w:val="center"/>
          </w:tcPr>
          <w:p>
            <w:pPr>
              <w:pStyle w:val="TableContents"/>
              <w:bidi w:val="0"/>
              <w:spacing w:before="0" w:after="283"/>
              <w:jc w:val="left"/>
              <w:rPr/>
            </w:pPr>
            <w:r>
              <w:rPr/>
              <w:t>Preferred stock, $</w:t>
            </w:r>
            <w:bookmarkStart w:id="70" w:name="xdx_90E_eus-gaap--PreferredStockParOrSta"/>
            <w:bookmarkStart w:id="71" w:name="xdx_900_eus-gaap--PreferredStockParOrSta"/>
            <w:bookmarkEnd w:id="70"/>
            <w:bookmarkEnd w:id="71"/>
            <w:r>
              <w:rPr/>
              <w:t xml:space="preserve">0.0001 par value, </w:t>
            </w:r>
            <w:bookmarkStart w:id="72" w:name="xdx_90F_eus-gaap--PreferredStockSharesAu"/>
            <w:bookmarkStart w:id="73" w:name="xdx_904_eus-gaap--PreferredStockSharesAu"/>
            <w:bookmarkEnd w:id="72"/>
            <w:bookmarkEnd w:id="73"/>
            <w:r>
              <w:rPr/>
              <w:t xml:space="preserve">100,000,000 shares authorized, </w:t>
            </w:r>
            <w:bookmarkStart w:id="74" w:name="xdx_909_eus-gaap--PreferredStockSharesOu"/>
            <w:bookmarkStart w:id="75" w:name="xdx_903_eus-gaap--PreferredStockSharesIs"/>
            <w:bookmarkStart w:id="76" w:name="xdx_903_eus-gaap--PreferredStockSharesOu"/>
            <w:bookmarkStart w:id="77" w:name="xdx_906_eus-gaap--PreferredStockSharesIs"/>
            <w:bookmarkEnd w:id="74"/>
            <w:bookmarkEnd w:id="75"/>
            <w:bookmarkEnd w:id="76"/>
            <w:bookmarkEnd w:id="77"/>
            <w:r>
              <w:rPr/>
              <w:t>Nil shares issued and outstanding as at June 30, 2026, and December 31, 2025</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78" w:name="xdx_409_eus-gaap--CommonStockValue_i02I_"/>
            <w:bookmarkEnd w:id="78"/>
          </w:p>
        </w:tc>
      </w:tr>
      <w:tr>
        <w:trPr/>
        <w:tc>
          <w:tcPr>
            <w:tcW w:w="7012" w:type="dxa"/>
            <w:tcBorders/>
            <w:shd w:fill="FFFFFF" w:val="clear"/>
            <w:vAlign w:val="center"/>
          </w:tcPr>
          <w:p>
            <w:pPr>
              <w:pStyle w:val="TableContents"/>
              <w:bidi w:val="0"/>
              <w:spacing w:before="0" w:after="283"/>
              <w:jc w:val="left"/>
              <w:rPr/>
            </w:pPr>
            <w:r>
              <w:rPr/>
              <w:t>Common stock, $</w:t>
            </w:r>
            <w:bookmarkStart w:id="79" w:name="xdx_909_eus-gaap--CommonStockParOrStated"/>
            <w:bookmarkStart w:id="80" w:name="xdx_907_eus-gaap--CommonStockParOrStated"/>
            <w:bookmarkEnd w:id="79"/>
            <w:bookmarkEnd w:id="80"/>
            <w:r>
              <w:rPr/>
              <w:t xml:space="preserve">0.0001 par value, </w:t>
            </w:r>
            <w:bookmarkStart w:id="81" w:name="xdx_907_eus-gaap--CommonStockSharesAutho"/>
            <w:bookmarkStart w:id="82" w:name="xdx_908_eus-gaap--CommonStockSharesAutho"/>
            <w:bookmarkEnd w:id="81"/>
            <w:bookmarkEnd w:id="82"/>
            <w:r>
              <w:rPr/>
              <w:t xml:space="preserve">700,000,000 shares authorized, </w:t>
            </w:r>
            <w:bookmarkStart w:id="83" w:name="xdx_907_eus-gaap--CommonStockSharesOutst"/>
            <w:bookmarkStart w:id="84" w:name="xdx_907_eus-gaap--CommonStockSharesIssue"/>
            <w:bookmarkEnd w:id="83"/>
            <w:bookmarkEnd w:id="84"/>
            <w:r>
              <w:rPr/>
              <w:t xml:space="preserve">11,628,657 and </w:t>
            </w:r>
            <w:bookmarkStart w:id="85" w:name="xdx_905_eus-gaap--CommonStockSharesOutst"/>
            <w:bookmarkStart w:id="86" w:name="xdx_909_eus-gaap--CommonStockSharesIssue"/>
            <w:bookmarkEnd w:id="85"/>
            <w:bookmarkEnd w:id="86"/>
            <w:r>
              <w:rPr/>
              <w:t>9,869,558 shares issued and outstanding as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975</w:t>
            </w:r>
          </w:p>
        </w:tc>
        <w:tc>
          <w:tcPr>
            <w:tcW w:w="113" w:type="dxa"/>
            <w:tcBorders/>
            <w:shd w:fill="FFFFFF" w:val="clear"/>
            <w:vAlign w:val="center"/>
          </w:tcPr>
          <w:p>
            <w:pPr>
              <w:pStyle w:val="TableContents"/>
              <w:bidi w:val="0"/>
              <w:spacing w:before="0" w:after="283"/>
              <w:jc w:val="left"/>
              <w:rPr/>
            </w:pPr>
            <w:r>
              <w:rPr/>
              <w:t> </w:t>
            </w:r>
            <w:bookmarkStart w:id="87" w:name="xdx_400_eus-gaap--AdditionalPaidInCapita"/>
            <w:bookmarkEnd w:id="87"/>
          </w:p>
        </w:tc>
      </w:tr>
      <w:tr>
        <w:trPr/>
        <w:tc>
          <w:tcPr>
            <w:tcW w:w="7012"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69,238,158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62,527,926</w:t>
            </w:r>
          </w:p>
        </w:tc>
        <w:tc>
          <w:tcPr>
            <w:tcW w:w="113" w:type="dxa"/>
            <w:tcBorders/>
            <w:shd w:fill="CCEEFF" w:val="clear"/>
            <w:vAlign w:val="center"/>
          </w:tcPr>
          <w:p>
            <w:pPr>
              <w:pStyle w:val="TableContents"/>
              <w:bidi w:val="0"/>
              <w:spacing w:before="0" w:after="283"/>
              <w:jc w:val="left"/>
              <w:rPr/>
            </w:pPr>
            <w:r>
              <w:rPr/>
              <w:t> </w:t>
            </w:r>
            <w:bookmarkStart w:id="88" w:name="xdx_40C_eus-gaap--RetainedEarningsAccumu"/>
            <w:bookmarkEnd w:id="88"/>
          </w:p>
        </w:tc>
      </w:tr>
      <w:tr>
        <w:trPr/>
        <w:tc>
          <w:tcPr>
            <w:tcW w:w="7012"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(77,480,170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(68,342,584</w:t>
            </w:r>
          </w:p>
        </w:tc>
        <w:tc>
          <w:tcPr>
            <w:tcW w:w="113" w:type="dxa"/>
            <w:tcBorders/>
            <w:shd w:fill="FFFFFF" w:val="clear"/>
            <w:vAlign w:val="center"/>
          </w:tcPr>
          <w:p>
            <w:pPr>
              <w:pStyle w:val="TableContents"/>
              <w:bidi w:val="0"/>
              <w:spacing w:before="0" w:after="283"/>
              <w:jc w:val="left"/>
              <w:rPr/>
            </w:pPr>
            <w:r>
              <w:rPr/>
              <w:t>)</w:t>
            </w:r>
            <w:bookmarkStart w:id="89" w:name="xdx_40A_eus-gaap--StockholdersEquity_i02"/>
            <w:bookmarkEnd w:id="89"/>
          </w:p>
        </w:tc>
      </w:tr>
      <w:tr>
        <w:trPr/>
        <w:tc>
          <w:tcPr>
            <w:tcW w:w="7012" w:type="dxa"/>
            <w:tcBorders/>
            <w:shd w:fill="CCEEFF" w:val="clear"/>
            <w:vAlign w:val="center"/>
          </w:tcPr>
          <w:p>
            <w:pPr>
              <w:pStyle w:val="TableContents"/>
              <w:bidi w:val="0"/>
              <w:spacing w:before="0" w:after="283"/>
              <w:jc w:val="left"/>
              <w:rPr>
                <w:b/>
              </w:rPr>
            </w:pPr>
            <w:r>
              <w:rPr>
                <w:b/>
              </w:rPr>
              <w:t>Total stockholders’ deficit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(8,240,860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(5,813,683</w:t>
            </w:r>
          </w:p>
        </w:tc>
        <w:tc>
          <w:tcPr>
            <w:tcW w:w="113" w:type="dxa"/>
            <w:tcBorders/>
            <w:shd w:fill="CCEEFF" w:val="clear"/>
            <w:vAlign w:val="center"/>
          </w:tcPr>
          <w:p>
            <w:pPr>
              <w:pStyle w:val="TableContents"/>
              <w:bidi w:val="0"/>
              <w:spacing w:before="0" w:after="283"/>
              <w:jc w:val="left"/>
              <w:rPr>
                <w:b/>
              </w:rPr>
            </w:pPr>
            <w:r>
              <w:rPr>
                <w:b/>
              </w:rPr>
              <w:t>)</w:t>
            </w:r>
          </w:p>
        </w:tc>
      </w:tr>
      <w:tr>
        <w:trPr/>
        <w:tc>
          <w:tcPr>
            <w:tcW w:w="70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90" w:name="xdx_40D_eus-gaap--LiabilitiesAndStockhol"/>
            <w:bookmarkEnd w:id="90"/>
          </w:p>
        </w:tc>
      </w:tr>
      <w:tr>
        <w:trPr/>
        <w:tc>
          <w:tcPr>
            <w:tcW w:w="7012" w:type="dxa"/>
            <w:tcBorders/>
            <w:shd w:fill="CCEEFF" w:val="clear"/>
            <w:vAlign w:val="center"/>
          </w:tcPr>
          <w:p>
            <w:pPr>
              <w:pStyle w:val="TableContents"/>
              <w:bidi w:val="0"/>
              <w:spacing w:before="0" w:after="283"/>
              <w:jc w:val="left"/>
              <w:rPr>
                <w:b/>
              </w:rPr>
            </w:pPr>
            <w:r>
              <w:rPr>
                <w:b/>
              </w:rPr>
              <w:t>Total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9,054,659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5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11,775,292</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1" w:name="a_004"/>
      <w:bookmarkEnd w:id="91"/>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USD, except number of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92" w:name="xdx_300_113_zAOKVORZY1B6"/>
      <w:bookmarkStart w:id="93" w:name="xdx_300_113_zAOKVORZY1B6"/>
      <w:bookmarkEnd w:id="93"/>
    </w:p>
    <w:tbl>
      <w:tblPr>
        <w:tblW w:w="10205" w:type="dxa"/>
        <w:jc w:val="left"/>
        <w:tblInd w:w="0" w:type="dxa"/>
        <w:tblLayout w:type="fixed"/>
        <w:tblCellMar>
          <w:top w:w="0" w:type="dxa"/>
          <w:left w:w="0" w:type="dxa"/>
          <w:bottom w:w="0" w:type="dxa"/>
          <w:right w:w="0" w:type="dxa"/>
        </w:tblCellMar>
      </w:tblPr>
      <w:tblGrid>
        <w:gridCol w:w="3731"/>
        <w:gridCol w:w="60"/>
        <w:gridCol w:w="151"/>
        <w:gridCol w:w="1196"/>
        <w:gridCol w:w="215"/>
        <w:gridCol w:w="60"/>
        <w:gridCol w:w="155"/>
        <w:gridCol w:w="1175"/>
        <w:gridCol w:w="215"/>
        <w:gridCol w:w="60"/>
        <w:gridCol w:w="151"/>
        <w:gridCol w:w="1196"/>
        <w:gridCol w:w="215"/>
        <w:gridCol w:w="60"/>
        <w:gridCol w:w="155"/>
        <w:gridCol w:w="1175"/>
        <w:gridCol w:w="235"/>
      </w:tblGrid>
      <w:tr>
        <w:trPr/>
        <w:tc>
          <w:tcPr>
            <w:tcW w:w="37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4" w:name="xdx_49F_20260401__20260630_zwO3QDcpoE93"/>
            <w:bookmarkEnd w:id="94"/>
          </w:p>
        </w:tc>
        <w:tc>
          <w:tcPr>
            <w:tcW w:w="13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5" w:name="xdx_496_20250401__20250630_zSaLf0fvSmtg"/>
            <w:bookmarkEnd w:id="95"/>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6" w:name="xdx_49E_20260101__20260630_z3Br2pNyUrc1"/>
            <w:bookmarkEnd w:id="96"/>
          </w:p>
        </w:tc>
        <w:tc>
          <w:tcPr>
            <w:tcW w:w="13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7" w:name="xdx_498_20250101__20250630_zpVRRj0fP4Zg"/>
            <w:bookmarkEnd w:id="97"/>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235" w:type="dxa"/>
            <w:tcBorders/>
            <w:vAlign w:val="center"/>
          </w:tcPr>
          <w:p>
            <w:pPr>
              <w:pStyle w:val="TableContents"/>
              <w:bidi w:val="0"/>
              <w:spacing w:before="0" w:after="283"/>
              <w:jc w:val="center"/>
              <w:rPr/>
            </w:pPr>
            <w:r>
              <w:rPr/>
              <w:t> </w:t>
            </w:r>
          </w:p>
        </w:tc>
      </w:tr>
      <w:tr>
        <w:trPr/>
        <w:tc>
          <w:tcPr>
            <w:tcW w:w="37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5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5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r>
          </w:p>
        </w:tc>
        <w:tc>
          <w:tcPr>
            <w:tcW w:w="235" w:type="dxa"/>
            <w:tcBorders/>
            <w:vAlign w:val="center"/>
          </w:tcPr>
          <w:p>
            <w:pPr>
              <w:pStyle w:val="TableContents"/>
              <w:bidi w:val="0"/>
              <w:spacing w:before="0" w:after="283"/>
              <w:jc w:val="center"/>
              <w:rPr/>
            </w:pPr>
            <w:r>
              <w:rPr/>
              <w:t> </w:t>
            </w:r>
          </w:p>
        </w:tc>
      </w:tr>
      <w:tr>
        <w:trPr/>
        <w:tc>
          <w:tcPr>
            <w:tcW w:w="37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235" w:type="dxa"/>
            <w:tcBorders/>
            <w:vAlign w:val="center"/>
          </w:tcPr>
          <w:p>
            <w:pPr>
              <w:pStyle w:val="TableContents"/>
              <w:bidi w:val="0"/>
              <w:spacing w:before="0" w:after="283"/>
              <w:jc w:val="center"/>
              <w:rPr/>
            </w:pPr>
            <w:r>
              <w:rPr/>
              <w:t> </w:t>
            </w:r>
            <w:bookmarkStart w:id="98" w:name="xdx_40D_eus-gaap--Revenues_maOILz0ib_z8g"/>
            <w:bookmarkEnd w:id="98"/>
          </w:p>
        </w:tc>
      </w:tr>
      <w:tr>
        <w:trPr/>
        <w:tc>
          <w:tcPr>
            <w:tcW w:w="373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5" w:type="dxa"/>
            <w:tcBorders/>
            <w:shd w:fill="CCEEFF" w:val="clear"/>
            <w:vAlign w:val="center"/>
          </w:tcPr>
          <w:p>
            <w:pPr>
              <w:pStyle w:val="TableContents"/>
              <w:bidi w:val="0"/>
              <w:spacing w:before="0" w:after="283"/>
              <w:jc w:val="left"/>
              <w:rPr/>
            </w:pPr>
            <w:r>
              <w:rPr/>
              <w:t> </w:t>
            </w:r>
          </w:p>
        </w:tc>
      </w:tr>
      <w:tr>
        <w:trPr/>
        <w:tc>
          <w:tcPr>
            <w:tcW w:w="3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bookmarkStart w:id="99" w:name="xdx_400_eus-gaap--GeneralAndAdministrati"/>
            <w:bookmarkEnd w:id="99"/>
          </w:p>
        </w:tc>
      </w:tr>
      <w:tr>
        <w:trPr/>
        <w:tc>
          <w:tcPr>
            <w:tcW w:w="3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3,894,683</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3,036,347</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7,879,584</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8,784,994</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0" w:name="xdx_40B_eus-gaap--OperatingIncomeLoss_iT"/>
            <w:bookmarkEnd w:id="100"/>
          </w:p>
        </w:tc>
      </w:tr>
      <w:tr>
        <w:trPr/>
        <w:tc>
          <w:tcPr>
            <w:tcW w:w="373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Loss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(3,894,683</w:t>
            </w:r>
          </w:p>
        </w:tc>
        <w:tc>
          <w:tcPr>
            <w:tcW w:w="2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(3,036,347</w:t>
            </w:r>
          </w:p>
        </w:tc>
        <w:tc>
          <w:tcPr>
            <w:tcW w:w="2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(7,879,584</w:t>
            </w:r>
          </w:p>
        </w:tc>
        <w:tc>
          <w:tcPr>
            <w:tcW w:w="2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(8,784,994</w:t>
            </w:r>
          </w:p>
        </w:tc>
        <w:tc>
          <w:tcPr>
            <w:tcW w:w="23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01" w:name="xdx_402_eus-gaap--NonoperatingIncomeExpe"/>
            <w:bookmarkEnd w:id="101"/>
          </w:p>
        </w:tc>
      </w:tr>
      <w:tr>
        <w:trPr/>
        <w:tc>
          <w:tcPr>
            <w:tcW w:w="3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bookmarkStart w:id="102" w:name="xdx_402_eus-gaap--InterestIncomeOther_i0"/>
            <w:bookmarkEnd w:id="102"/>
          </w:p>
        </w:tc>
      </w:tr>
      <w:tr>
        <w:trPr/>
        <w:tc>
          <w:tcPr>
            <w:tcW w:w="37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12,010</w:t>
            </w:r>
          </w:p>
        </w:tc>
        <w:tc>
          <w:tcPr>
            <w:tcW w:w="235" w:type="dxa"/>
            <w:tcBorders/>
            <w:shd w:fill="FFFFFF" w:val="clear"/>
            <w:vAlign w:val="center"/>
          </w:tcPr>
          <w:p>
            <w:pPr>
              <w:pStyle w:val="TableContents"/>
              <w:bidi w:val="0"/>
              <w:spacing w:before="0" w:after="283"/>
              <w:jc w:val="left"/>
              <w:rPr/>
            </w:pPr>
            <w:r>
              <w:rPr/>
              <w:t> </w:t>
            </w:r>
            <w:bookmarkStart w:id="103" w:name="xdx_403_eus-gaap--InterestExpenseNonoper"/>
            <w:bookmarkEnd w:id="103"/>
          </w:p>
        </w:tc>
      </w:tr>
      <w:tr>
        <w:trPr/>
        <w:tc>
          <w:tcPr>
            <w:tcW w:w="3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(331,715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4" w:name="xdx_F28_zVy2W1syL8b2"/>
            <w:bookmarkEnd w:id="104"/>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(58,092</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5" w:name="xdx_F22_zIrE6WfbNNW1"/>
            <w:bookmarkEnd w:id="105"/>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(697,321</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6" w:name="xdx_F2C_zkF2ajdof4Nd"/>
            <w:bookmarkEnd w:id="106"/>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(165,933</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7" w:name="xdx_F2C_zdfb1DRMGhf"/>
            <w:bookmarkEnd w:id="107"/>
            <w:r>
              <w:rPr>
                <w:rFonts w:ascii="Times New Roman;Times;Serif" w:hAnsi="Times New Roman;Times;Serif"/>
              </w:rPr>
              <w:t>1</w:t>
            </w:r>
            <w:bookmarkStart w:id="108" w:name="xdx_40E_ecustom--FinanceCharge_i01N_di_m"/>
            <w:bookmarkEnd w:id="108"/>
          </w:p>
        </w:tc>
      </w:tr>
      <w:tr>
        <w:trPr/>
        <w:tc>
          <w:tcPr>
            <w:tcW w:w="37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charge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(86,733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(20,697</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(313,920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(219,120</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9" w:name="xdx_404_ecustom--ChangeInFairValueOfEarn"/>
            <w:bookmarkEnd w:id="109"/>
          </w:p>
        </w:tc>
      </w:tr>
      <w:tr>
        <w:trPr/>
        <w:tc>
          <w:tcPr>
            <w:tcW w:w="3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sponsor earn out shares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528,000</w:t>
            </w:r>
          </w:p>
        </w:tc>
        <w:tc>
          <w:tcPr>
            <w:tcW w:w="235" w:type="dxa"/>
            <w:tcBorders/>
            <w:shd w:fill="CCEEFF" w:val="clear"/>
            <w:vAlign w:val="center"/>
          </w:tcPr>
          <w:p>
            <w:pPr>
              <w:pStyle w:val="TableContents"/>
              <w:bidi w:val="0"/>
              <w:spacing w:before="0" w:after="283"/>
              <w:jc w:val="left"/>
              <w:rPr/>
            </w:pPr>
            <w:r>
              <w:rPr/>
              <w:t> </w:t>
            </w:r>
            <w:bookmarkStart w:id="110" w:name="xdx_409_eus-gaap--FairValueAdjustmentOfW"/>
            <w:bookmarkEnd w:id="110"/>
          </w:p>
        </w:tc>
      </w:tr>
      <w:tr>
        <w:trPr/>
        <w:tc>
          <w:tcPr>
            <w:tcW w:w="37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551,789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472,515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(115,782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2,171,692</w:t>
            </w:r>
          </w:p>
        </w:tc>
        <w:tc>
          <w:tcPr>
            <w:tcW w:w="235" w:type="dxa"/>
            <w:tcBorders/>
            <w:shd w:fill="FFFFFF" w:val="clear"/>
            <w:vAlign w:val="center"/>
          </w:tcPr>
          <w:p>
            <w:pPr>
              <w:pStyle w:val="TableContents"/>
              <w:bidi w:val="0"/>
              <w:spacing w:before="0" w:after="283"/>
              <w:jc w:val="left"/>
              <w:rPr/>
            </w:pPr>
            <w:r>
              <w:rPr/>
              <w:t> </w:t>
            </w:r>
            <w:bookmarkStart w:id="111" w:name="xdx_40F_ecustom--ChangeInFairValueOfInve"/>
            <w:bookmarkEnd w:id="111"/>
          </w:p>
        </w:tc>
      </w:tr>
      <w:tr>
        <w:trPr/>
        <w:tc>
          <w:tcPr>
            <w:tcW w:w="3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investment in equity securities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(14,173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(738,889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(8,572</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(728,134</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2" w:name="xdx_406_ecustom--LossOnSaleOfInvestmentI"/>
            <w:bookmarkEnd w:id="112"/>
          </w:p>
        </w:tc>
      </w:tr>
      <w:tr>
        <w:trPr/>
        <w:tc>
          <w:tcPr>
            <w:tcW w:w="37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sale of investment in equity securities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(95,178</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(95,178</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3" w:name="xdx_402_ecustom--LossOnWriteoffOfPromiss"/>
            <w:bookmarkEnd w:id="113"/>
          </w:p>
        </w:tc>
      </w:tr>
      <w:tr>
        <w:trPr/>
        <w:tc>
          <w:tcPr>
            <w:tcW w:w="3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write-off of promissory note and deposit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(232,481</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(232,481</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4" w:name="xdx_409_eus-gaap--GainsLossesOnExtinguis"/>
            <w:bookmarkEnd w:id="114"/>
          </w:p>
        </w:tc>
      </w:tr>
      <w:tr>
        <w:trPr/>
        <w:tc>
          <w:tcPr>
            <w:tcW w:w="37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liability,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(127,381</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(122,409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5" w:type="dxa"/>
            <w:tcBorders/>
            <w:shd w:fill="FFFFFF" w:val="clear"/>
            <w:vAlign w:val="center"/>
          </w:tcPr>
          <w:p>
            <w:pPr>
              <w:pStyle w:val="TableContents"/>
              <w:bidi w:val="0"/>
              <w:spacing w:before="0" w:after="283"/>
              <w:jc w:val="left"/>
              <w:rPr/>
            </w:pPr>
            <w:r>
              <w:rPr/>
              <w:t> </w:t>
            </w:r>
            <w:bookmarkStart w:id="115" w:name="xdx_400_eus-gaap--NonoperatingIncomeExpe"/>
            <w:bookmarkEnd w:id="115"/>
          </w:p>
        </w:tc>
      </w:tr>
      <w:tr>
        <w:trPr/>
        <w:tc>
          <w:tcPr>
            <w:tcW w:w="373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other income (expenses)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(8,211</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(668,091</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(1,258,002</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1,270,856</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3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bookmarkStart w:id="116" w:name="xdx_408_eus-gaap--NetIncomeLoss_iT_mtNIL"/>
            <w:bookmarkEnd w:id="116"/>
          </w:p>
        </w:tc>
      </w:tr>
      <w:tr>
        <w:trPr/>
        <w:tc>
          <w:tcPr>
            <w:tcW w:w="373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(3,902,894</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(3,704,438</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(9,137,586</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(7,514,138</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3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bookmarkStart w:id="117" w:name="xdx_408_eus-gaap--EarningsPerShareAbstra"/>
            <w:bookmarkEnd w:id="117"/>
          </w:p>
        </w:tc>
      </w:tr>
      <w:tr>
        <w:trPr/>
        <w:tc>
          <w:tcPr>
            <w:tcW w:w="373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loss per share</w:t>
            </w:r>
            <w:r>
              <w:rPr>
                <w:rFonts w:ascii="Times New Roman;Times;Serif" w:hAnsi="Times New Roman;Times;Serif"/>
                <w:b/>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bookmarkStart w:id="118" w:name="xdx_40B_eus-gaap--EarningsPerShareBasic_"/>
            <w:bookmarkEnd w:id="118"/>
          </w:p>
        </w:tc>
      </w:tr>
      <w:tr>
        <w:trPr/>
        <w:tc>
          <w:tcPr>
            <w:tcW w:w="37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Basic </w:t>
            </w:r>
            <w:bookmarkStart w:id="119" w:name="xdx_F44_zAkcyzzqk8n6"/>
            <w:bookmarkEnd w:id="119"/>
            <w:r>
              <w:rPr>
                <w:rFonts w:ascii="Times New Roman;Times;Serif" w:hAnsi="Times New Roman;Times;Serif"/>
                <w:sz w:val="18"/>
              </w:rPr>
              <w:t>2</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(0.35</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(0.87</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0" w:name="xdx_405_eus-gaap--EarningsPerShareDilute"/>
            <w:bookmarkEnd w:id="120"/>
          </w:p>
        </w:tc>
      </w:tr>
      <w:tr>
        <w:trPr/>
        <w:tc>
          <w:tcPr>
            <w:tcW w:w="3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Diluted </w:t>
            </w:r>
            <w:bookmarkStart w:id="121" w:name="xdx_F4A_zHHt8E7zGP46"/>
            <w:bookmarkEnd w:id="121"/>
            <w:r>
              <w:rPr>
                <w:rFonts w:ascii="Times New Roman;Times;Serif" w:hAnsi="Times New Roman;Times;Serif"/>
                <w:sz w:val="18"/>
              </w:rPr>
              <w:t>2</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(0.87</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bookmarkStart w:id="122" w:name="xdx_40F_eus-gaap--EarningsPerShareBasicO"/>
            <w:bookmarkEnd w:id="122"/>
          </w:p>
        </w:tc>
      </w:tr>
      <w:tr>
        <w:trPr/>
        <w:tc>
          <w:tcPr>
            <w:tcW w:w="373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 average common shares outstanding</w:t>
            </w:r>
            <w:r>
              <w:rPr>
                <w:rFonts w:ascii="Times New Roman;Times;Serif" w:hAnsi="Times New Roman;Times;Serif"/>
                <w:b/>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bookmarkStart w:id="123" w:name="xdx_401_eus-gaap--WeightedAverageNumberO"/>
            <w:bookmarkEnd w:id="123"/>
          </w:p>
        </w:tc>
      </w:tr>
      <w:tr>
        <w:trPr/>
        <w:tc>
          <w:tcPr>
            <w:tcW w:w="37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Basic </w:t>
            </w:r>
            <w:bookmarkStart w:id="124" w:name="xdx_F4D_zQt7oG4PDJzf"/>
            <w:bookmarkEnd w:id="124"/>
            <w:r>
              <w:rPr>
                <w:rFonts w:ascii="Times New Roman;Times;Serif" w:hAnsi="Times New Roman;Times;Serif"/>
                <w:sz w:val="18"/>
              </w:rPr>
              <w:t>2</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11,063,807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6,319,817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10,492,494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5,811,684</w:t>
            </w:r>
          </w:p>
        </w:tc>
        <w:tc>
          <w:tcPr>
            <w:tcW w:w="235" w:type="dxa"/>
            <w:tcBorders/>
            <w:shd w:fill="FFFFFF" w:val="clear"/>
            <w:vAlign w:val="center"/>
          </w:tcPr>
          <w:p>
            <w:pPr>
              <w:pStyle w:val="TableContents"/>
              <w:bidi w:val="0"/>
              <w:spacing w:before="0" w:after="283"/>
              <w:jc w:val="left"/>
              <w:rPr/>
            </w:pPr>
            <w:r>
              <w:rPr/>
              <w:t> </w:t>
            </w:r>
            <w:bookmarkStart w:id="125" w:name="xdx_403_eus-gaap--WeightedAverageNumberO"/>
            <w:bookmarkEnd w:id="125"/>
          </w:p>
        </w:tc>
      </w:tr>
      <w:tr>
        <w:trPr/>
        <w:tc>
          <w:tcPr>
            <w:tcW w:w="3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Diluted </w:t>
            </w:r>
            <w:bookmarkStart w:id="126" w:name="xdx_F48_zxqcW3kW3jB2"/>
            <w:bookmarkEnd w:id="126"/>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11,063,807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6,319,817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10,492,494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5,811,684</w:t>
            </w:r>
          </w:p>
        </w:tc>
        <w:tc>
          <w:tcPr>
            <w:tcW w:w="23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60"/>
        <w:gridCol w:w="9914"/>
      </w:tblGrid>
      <w:tr>
        <w:trPr/>
        <w:tc>
          <w:tcPr>
            <w:tcW w:w="231"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127" w:name="xdx_F0B_zzlcSVX8PUJh"/>
            <w:bookmarkEnd w:id="127"/>
            <w:r>
              <w:rPr>
                <w:rFonts w:ascii="Times New Roman;Times;Serif" w:hAnsi="Times New Roman;Times;Serif"/>
                <w:b/>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8" w:name="xdx_F1F_zooeeBFvsFK2"/>
            <w:bookmarkEnd w:id="128"/>
            <w:r>
              <w:rPr>
                <w:rFonts w:ascii="Times New Roman;Times;Serif" w:hAnsi="Times New Roman;Times;Serif"/>
                <w:b w:val="false"/>
                <w:i w:val="false"/>
                <w:caps w:val="false"/>
                <w:smallCaps w:val="false"/>
                <w:sz w:val="20"/>
              </w:rPr>
              <w:t xml:space="preserve">Includes related party amounts of </w:t>
            </w:r>
            <w:bookmarkStart w:id="129" w:name="xdx_903_eus-gaap--InterestExpenseNonoper"/>
            <w:bookmarkEnd w:id="129"/>
            <w:r>
              <w:rPr>
                <w:rFonts w:ascii="Times New Roman;Times;Serif" w:hAnsi="Times New Roman;Times;Serif"/>
                <w:b w:val="false"/>
                <w:i w:val="false"/>
                <w:caps w:val="false"/>
                <w:smallCaps w:val="false"/>
                <w:sz w:val="20"/>
              </w:rPr>
              <w:t>Nil and $</w:t>
            </w:r>
            <w:bookmarkStart w:id="130" w:name="xdx_90D_eus-gaap--InterestExpenseNonoper"/>
            <w:bookmarkEnd w:id="130"/>
            <w:r>
              <w:rPr>
                <w:rFonts w:ascii="Times New Roman;Times;Serif" w:hAnsi="Times New Roman;Times;Serif"/>
                <w:b w:val="false"/>
                <w:i w:val="false"/>
                <w:caps w:val="false"/>
                <w:smallCaps w:val="false"/>
                <w:sz w:val="20"/>
              </w:rPr>
              <w:t xml:space="preserve">422 for the three months ended June 30, 2026, and 2025, respectively and </w:t>
            </w:r>
            <w:bookmarkStart w:id="131" w:name="xdx_90C_eus-gaap--InterestExpenseNonoper"/>
            <w:bookmarkEnd w:id="131"/>
            <w:r>
              <w:rPr>
                <w:rFonts w:ascii="Times New Roman;Times;Serif" w:hAnsi="Times New Roman;Times;Serif"/>
                <w:b w:val="false"/>
                <w:i w:val="false"/>
                <w:caps w:val="false"/>
                <w:smallCaps w:val="false"/>
                <w:sz w:val="20"/>
              </w:rPr>
              <w:t>Nil and $</w:t>
            </w:r>
            <w:bookmarkStart w:id="132" w:name="xdx_901_eus-gaap--InterestExpenseNonoper"/>
            <w:bookmarkEnd w:id="132"/>
            <w:r>
              <w:rPr>
                <w:rFonts w:ascii="Times New Roman;Times;Serif" w:hAnsi="Times New Roman;Times;Serif"/>
                <w:b w:val="false"/>
                <w:i w:val="false"/>
                <w:caps w:val="false"/>
                <w:smallCaps w:val="false"/>
                <w:sz w:val="20"/>
              </w:rPr>
              <w:t>58,651 for the six months ended June 30, 2026, and 2025, respectively.</w:t>
            </w:r>
          </w:p>
        </w:tc>
      </w:tr>
      <w:tr>
        <w:trPr/>
        <w:tc>
          <w:tcPr>
            <w:tcW w:w="231"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133" w:name="xdx_F01_z51aZphoVAy"/>
            <w:bookmarkEnd w:id="133"/>
            <w:r>
              <w:rPr>
                <w:rFonts w:ascii="Times New Roman;Times;Serif" w:hAnsi="Times New Roman;Times;Serif"/>
                <w:b/>
                <w:i w:val="false"/>
                <w:caps w:val="false"/>
                <w:smallCaps w:val="false"/>
                <w:sz w:val="20"/>
              </w:rPr>
              <w:t>(2)</w:t>
            </w:r>
          </w:p>
        </w:tc>
        <w:tc>
          <w:tcPr>
            <w:tcW w:w="60" w:type="dxa"/>
            <w:tcBorders/>
            <w:vAlign w:val="center"/>
          </w:tcPr>
          <w:p>
            <w:pPr>
              <w:pStyle w:val="TableContents"/>
              <w:bidi w:val="0"/>
              <w:spacing w:before="0" w:after="283"/>
              <w:jc w:val="left"/>
              <w:rPr>
                <w:sz w:val="4"/>
                <w:szCs w:val="4"/>
              </w:rPr>
            </w:pPr>
            <w:r>
              <w:rPr>
                <w:sz w:val="4"/>
                <w:szCs w:val="4"/>
              </w:rPr>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34" w:name="xdx_F18_zilvFeRO5YIk"/>
            <w:bookmarkEnd w:id="134"/>
            <w:r>
              <w:rPr>
                <w:rFonts w:ascii="Times New Roman;Times;Serif" w:hAnsi="Times New Roman;Times;Serif"/>
                <w:b w:val="false"/>
                <w:i w:val="false"/>
                <w:caps w:val="false"/>
                <w:smallCaps w:val="false"/>
                <w:sz w:val="20"/>
              </w:rPr>
              <w:t xml:space="preserve">Amounts have been adjusted to reflect the </w:t>
            </w:r>
            <w:bookmarkStart w:id="135" w:name="xdx_903_eus-gaap--StockholdersEquityReve"/>
            <w:bookmarkEnd w:id="135"/>
            <w:r>
              <w:rPr>
                <w:rFonts w:ascii="Times New Roman;Times;Serif" w:hAnsi="Times New Roman;Times;Serif"/>
                <w:b w:val="false"/>
                <w:i w:val="false"/>
                <w:caps w:val="false"/>
                <w:smallCaps w:val="false"/>
                <w:sz w:val="20"/>
              </w:rPr>
              <w:t>1-for-10 reverse stock split that became effective on September 8, 2025. See Note 2 “Basis of presentation and summary of significant accounting policies” for additional details.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6" w:name="a_005"/>
      <w:bookmarkEnd w:id="136"/>
      <w:r>
        <w:rPr>
          <w:rFonts w:ascii="Times New Roman;Times;Serif" w:hAnsi="Times New Roman;Times;Serif"/>
          <w:b/>
          <w:i w:val="false"/>
          <w:caps w:val="false"/>
          <w:smallCaps w:val="false"/>
          <w:sz w:val="20"/>
        </w:rPr>
        <w:t>CONDENSED 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USD, except number of shares)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7" w:name="xdx_30B_114_zknFDXMPSkRf"/>
      <w:bookmarkStart w:id="138" w:name="xdx_30B_114_zknFDXMPSkRf"/>
      <w:bookmarkEnd w:id="138"/>
    </w:p>
    <w:tbl>
      <w:tblPr>
        <w:tblW w:w="10205" w:type="dxa"/>
        <w:jc w:val="left"/>
        <w:tblInd w:w="0" w:type="dxa"/>
        <w:tblLayout w:type="fixed"/>
        <w:tblCellMar>
          <w:top w:w="0" w:type="dxa"/>
          <w:left w:w="0" w:type="dxa"/>
          <w:bottom w:w="0" w:type="dxa"/>
          <w:right w:w="0" w:type="dxa"/>
        </w:tblCellMar>
      </w:tblPr>
      <w:tblGrid>
        <w:gridCol w:w="3440"/>
        <w:gridCol w:w="60"/>
        <w:gridCol w:w="60"/>
        <w:gridCol w:w="1100"/>
        <w:gridCol w:w="60"/>
        <w:gridCol w:w="60"/>
        <w:gridCol w:w="172"/>
        <w:gridCol w:w="688"/>
        <w:gridCol w:w="60"/>
        <w:gridCol w:w="60"/>
        <w:gridCol w:w="140"/>
        <w:gridCol w:w="1100"/>
        <w:gridCol w:w="95"/>
        <w:gridCol w:w="60"/>
        <w:gridCol w:w="145"/>
        <w:gridCol w:w="1225"/>
        <w:gridCol w:w="95"/>
        <w:gridCol w:w="60"/>
        <w:gridCol w:w="165"/>
        <w:gridCol w:w="1250"/>
        <w:gridCol w:w="110"/>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 w:name="xdx_4B4_us-gaap--StatementEquityComponen"/>
            <w:bookmarkEnd w:id="139"/>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0" w:name="xdx_4B7_us-gaap--StatementEquityComponen"/>
            <w:bookmarkEnd w:id="140"/>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 w:name="xdx_4BD_us-gaap--StatementEquityComponen"/>
            <w:bookmarkEnd w:id="141"/>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2" w:name="xdx_4B5_zEEVC1fMI07i"/>
            <w:bookmarkEnd w:id="142"/>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0095" w:type="dxa"/>
            <w:gridSpan w:val="20"/>
            <w:tcBorders>
              <w:bottom w:val="single" w:sz="8" w:space="0" w:color="000000"/>
            </w:tcBorders>
            <w:tcMar>
              <w:bottom w:w="28" w:type="dxa"/>
            </w:tcMar>
            <w:vAlign w:val="center"/>
          </w:tcPr>
          <w:p>
            <w:pPr>
              <w:pStyle w:val="TableContents"/>
              <w:bidi w:val="0"/>
              <w:spacing w:before="0" w:after="283"/>
              <w:jc w:val="center"/>
              <w:rPr>
                <w:b/>
              </w:rPr>
            </w:pPr>
            <w:r>
              <w:rPr>
                <w:b/>
              </w:rPr>
              <w:t>For Six months ended June 30, 2026</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095" w:type="dxa"/>
            <w:gridSpan w:val="20"/>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bookmarkStart w:id="143" w:name="xdx_43C_c20260101__20260331_eus-gaap--St"/>
            <w:bookmarkEnd w:id="143"/>
          </w:p>
        </w:tc>
      </w:tr>
      <w:tr>
        <w:trPr/>
        <w:tc>
          <w:tcPr>
            <w:tcW w:w="3440" w:type="dxa"/>
            <w:tcBorders/>
            <w:shd w:fill="CCEEFF" w:val="clear"/>
            <w:vAlign w:val="center"/>
          </w:tcPr>
          <w:p>
            <w:pPr>
              <w:pStyle w:val="TableContents"/>
              <w:bidi w:val="0"/>
              <w:spacing w:before="0" w:after="283"/>
              <w:jc w:val="left"/>
              <w:rPr>
                <w:b/>
              </w:rPr>
            </w:pPr>
            <w:r>
              <w:rPr>
                <w:b/>
              </w:rPr>
              <w:t>Balance as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4" w:name="xdx_98E_eus-gaap--SharesOutstanding_iS_c"/>
            <w:bookmarkEnd w:id="144"/>
          </w:p>
        </w:tc>
        <w:tc>
          <w:tcPr>
            <w:tcW w:w="1100" w:type="dxa"/>
            <w:tcBorders/>
            <w:shd w:fill="CCEEFF" w:val="clear"/>
            <w:vAlign w:val="center"/>
          </w:tcPr>
          <w:p>
            <w:pPr>
              <w:pStyle w:val="TableContents"/>
              <w:bidi w:val="0"/>
              <w:spacing w:before="0" w:after="283"/>
              <w:jc w:val="right"/>
              <w:rPr/>
            </w:pPr>
            <w:r>
              <w:rPr/>
              <w:t>9,869,558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62,527,926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(68,342,584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(5,813,683</w:t>
            </w:r>
          </w:p>
        </w:tc>
        <w:tc>
          <w:tcPr>
            <w:tcW w:w="110" w:type="dxa"/>
            <w:tcBorders/>
            <w:shd w:fill="CCEEFF" w:val="clear"/>
            <w:vAlign w:val="center"/>
          </w:tcPr>
          <w:p>
            <w:pPr>
              <w:pStyle w:val="TableContents"/>
              <w:bidi w:val="0"/>
              <w:spacing w:before="0" w:after="283"/>
              <w:jc w:val="left"/>
              <w:rPr/>
            </w:pPr>
            <w:r>
              <w:rPr/>
              <w:t>)</w:t>
            </w:r>
            <w:bookmarkStart w:id="145" w:name="xdx_403_eus-gaap--NetIncomeLoss_zF08bXxm"/>
            <w:bookmarkEnd w:id="145"/>
          </w:p>
        </w:tc>
      </w:tr>
      <w:tr>
        <w:trPr/>
        <w:tc>
          <w:tcPr>
            <w:tcW w:w="34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(5,234,692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(5,234,692</w:t>
            </w:r>
          </w:p>
        </w:tc>
        <w:tc>
          <w:tcPr>
            <w:tcW w:w="110" w:type="dxa"/>
            <w:tcBorders/>
            <w:shd w:fill="FFFFFF" w:val="clear"/>
            <w:vAlign w:val="center"/>
          </w:tcPr>
          <w:p>
            <w:pPr>
              <w:pStyle w:val="TableContents"/>
              <w:bidi w:val="0"/>
              <w:spacing w:before="0" w:after="283"/>
              <w:jc w:val="left"/>
              <w:rPr/>
            </w:pPr>
            <w:r>
              <w:rPr/>
              <w:t>)</w:t>
            </w:r>
            <w:bookmarkStart w:id="146" w:name="xdx_404_eus-gaap--AdjustmentsToAdditiona"/>
            <w:bookmarkEnd w:id="146"/>
          </w:p>
        </w:tc>
      </w:tr>
      <w:tr>
        <w:trPr/>
        <w:tc>
          <w:tcPr>
            <w:tcW w:w="3440" w:type="dxa"/>
            <w:tcBorders/>
            <w:shd w:fill="CCEEFF" w:val="clear"/>
            <w:vAlign w:val="center"/>
          </w:tcPr>
          <w:p>
            <w:pPr>
              <w:pStyle w:val="TableContents"/>
              <w:bidi w:val="0"/>
              <w:spacing w:before="0" w:after="283"/>
              <w:jc w:val="left"/>
              <w:rPr/>
            </w:pPr>
            <w:r>
              <w:rPr/>
              <w:t>Stock based compensation (Note 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1,510,259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1,510,259</w:t>
            </w:r>
          </w:p>
        </w:tc>
        <w:tc>
          <w:tcPr>
            <w:tcW w:w="110" w:type="dxa"/>
            <w:tcBorders/>
            <w:shd w:fill="CCEEFF" w:val="clear"/>
            <w:vAlign w:val="center"/>
          </w:tcPr>
          <w:p>
            <w:pPr>
              <w:pStyle w:val="TableContents"/>
              <w:bidi w:val="0"/>
              <w:spacing w:before="0" w:after="283"/>
              <w:jc w:val="left"/>
              <w:rPr/>
            </w:pPr>
            <w:r>
              <w:rPr/>
              <w:t> </w:t>
            </w:r>
            <w:bookmarkStart w:id="147" w:name="xdx_40A_ecustom--StockIssuedDuringPeriod"/>
            <w:bookmarkEnd w:id="147"/>
          </w:p>
        </w:tc>
      </w:tr>
      <w:tr>
        <w:trPr/>
        <w:tc>
          <w:tcPr>
            <w:tcW w:w="3440" w:type="dxa"/>
            <w:tcBorders/>
            <w:shd w:fill="FFFFFF" w:val="clear"/>
            <w:vAlign w:val="center"/>
          </w:tcPr>
          <w:p>
            <w:pPr>
              <w:pStyle w:val="TableContents"/>
              <w:bidi w:val="0"/>
              <w:spacing w:before="0" w:after="283"/>
              <w:jc w:val="left"/>
              <w:rPr/>
            </w:pPr>
            <w:r>
              <w:rPr/>
              <w:t>Transfer from early exercised stock option liability on vesting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313</w:t>
            </w:r>
          </w:p>
        </w:tc>
        <w:tc>
          <w:tcPr>
            <w:tcW w:w="110" w:type="dxa"/>
            <w:tcBorders/>
            <w:shd w:fill="FFFFFF" w:val="clear"/>
            <w:vAlign w:val="center"/>
          </w:tcPr>
          <w:p>
            <w:pPr>
              <w:pStyle w:val="TableContents"/>
              <w:bidi w:val="0"/>
              <w:spacing w:before="0" w:after="283"/>
              <w:jc w:val="left"/>
              <w:rPr/>
            </w:pPr>
            <w:r>
              <w:rPr/>
              <w:t> </w:t>
            </w:r>
            <w:bookmarkStart w:id="148" w:name="xdx_408_eus-gaap--StockIssuedDuringPerio"/>
            <w:bookmarkEnd w:id="148"/>
          </w:p>
        </w:tc>
      </w:tr>
      <w:tr>
        <w:trPr/>
        <w:tc>
          <w:tcPr>
            <w:tcW w:w="3440" w:type="dxa"/>
            <w:tcBorders/>
            <w:shd w:fill="CCEEFF" w:val="clear"/>
            <w:vAlign w:val="center"/>
          </w:tcPr>
          <w:p>
            <w:pPr>
              <w:pStyle w:val="TableContents"/>
              <w:bidi w:val="0"/>
              <w:spacing w:before="0" w:after="283"/>
              <w:jc w:val="left"/>
              <w:rPr/>
            </w:pPr>
            <w:r>
              <w:rPr/>
              <w:t>Issuance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9" w:name="xdx_981_eus-gaap--StockIssuedDuringPerio"/>
            <w:bookmarkEnd w:id="149"/>
          </w:p>
        </w:tc>
        <w:tc>
          <w:tcPr>
            <w:tcW w:w="1100" w:type="dxa"/>
            <w:tcBorders/>
            <w:shd w:fill="CCEEFF" w:val="clear"/>
            <w:vAlign w:val="center"/>
          </w:tcPr>
          <w:p>
            <w:pPr>
              <w:pStyle w:val="TableContents"/>
              <w:bidi w:val="0"/>
              <w:spacing w:before="0" w:after="283"/>
              <w:jc w:val="right"/>
              <w:rPr/>
            </w:pPr>
            <w:r>
              <w:rPr/>
              <w:t>29,067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97,106</w:t>
            </w:r>
          </w:p>
        </w:tc>
        <w:tc>
          <w:tcPr>
            <w:tcW w:w="110" w:type="dxa"/>
            <w:tcBorders/>
            <w:shd w:fill="CCEEFF" w:val="clear"/>
            <w:vAlign w:val="center"/>
          </w:tcPr>
          <w:p>
            <w:pPr>
              <w:pStyle w:val="TableContents"/>
              <w:bidi w:val="0"/>
              <w:spacing w:before="0" w:after="283"/>
              <w:jc w:val="left"/>
              <w:rPr/>
            </w:pPr>
            <w:r>
              <w:rPr/>
              <w:t> </w:t>
            </w:r>
            <w:bookmarkStart w:id="150" w:name="xdx_40C_ecustom--StockIssuedDuringPeriod"/>
            <w:bookmarkEnd w:id="150"/>
          </w:p>
        </w:tc>
      </w:tr>
      <w:tr>
        <w:trPr/>
        <w:tc>
          <w:tcPr>
            <w:tcW w:w="3440" w:type="dxa"/>
            <w:tcBorders/>
            <w:shd w:fill="FFFFFF" w:val="clear"/>
            <w:vAlign w:val="center"/>
          </w:tcPr>
          <w:p>
            <w:pPr>
              <w:pStyle w:val="TableContents"/>
              <w:bidi w:val="0"/>
              <w:spacing w:before="0" w:after="283"/>
              <w:jc w:val="left"/>
              <w:rPr/>
            </w:pPr>
            <w:r>
              <w:rPr/>
              <w:t>Issuance of common stock for settlement of RSU</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1" w:name="xdx_98F_ecustom--StockIssuedDuringPeriod"/>
            <w:bookmarkEnd w:id="151"/>
          </w:p>
        </w:tc>
        <w:tc>
          <w:tcPr>
            <w:tcW w:w="1100" w:type="dxa"/>
            <w:tcBorders/>
            <w:shd w:fill="FFFFFF" w:val="clear"/>
            <w:vAlign w:val="center"/>
          </w:tcPr>
          <w:p>
            <w:pPr>
              <w:pStyle w:val="TableContents"/>
              <w:bidi w:val="0"/>
              <w:spacing w:before="0" w:after="283"/>
              <w:jc w:val="right"/>
              <w:rPr/>
            </w:pPr>
            <w:r>
              <w:rPr/>
              <w:t>67,848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2" w:name="xdx_404_ecustom--AdjustmentsToAdditional"/>
            <w:bookmarkEnd w:id="152"/>
          </w:p>
        </w:tc>
      </w:tr>
      <w:tr>
        <w:trPr/>
        <w:tc>
          <w:tcPr>
            <w:tcW w:w="3440" w:type="dxa"/>
            <w:tcBorders/>
            <w:shd w:fill="CCEEFF" w:val="clear"/>
            <w:vAlign w:val="center"/>
          </w:tcPr>
          <w:p>
            <w:pPr>
              <w:pStyle w:val="TableContents"/>
              <w:bidi w:val="0"/>
              <w:spacing w:before="0" w:after="283"/>
              <w:jc w:val="left"/>
              <w:rPr/>
            </w:pPr>
            <w:r>
              <w:rPr/>
              <w:t>Issuance of common stock for settlement of accrued liability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1,573,032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1,573,032</w:t>
            </w:r>
          </w:p>
        </w:tc>
        <w:tc>
          <w:tcPr>
            <w:tcW w:w="110" w:type="dxa"/>
            <w:tcBorders/>
            <w:shd w:fill="CCEEFF" w:val="clear"/>
            <w:vAlign w:val="center"/>
          </w:tcPr>
          <w:p>
            <w:pPr>
              <w:pStyle w:val="TableContents"/>
              <w:bidi w:val="0"/>
              <w:spacing w:before="0" w:after="283"/>
              <w:jc w:val="left"/>
              <w:rPr/>
            </w:pPr>
            <w:r>
              <w:rPr/>
              <w:t> </w:t>
            </w:r>
            <w:bookmarkStart w:id="153" w:name="xdx_436_c20260401__20260630_eus-gaap--St"/>
            <w:bookmarkEnd w:id="153"/>
          </w:p>
        </w:tc>
      </w:tr>
      <w:tr>
        <w:trPr/>
        <w:tc>
          <w:tcPr>
            <w:tcW w:w="3440" w:type="dxa"/>
            <w:tcBorders/>
            <w:shd w:fill="FFFFFF" w:val="clear"/>
            <w:vAlign w:val="center"/>
          </w:tcPr>
          <w:p>
            <w:pPr>
              <w:pStyle w:val="TableContents"/>
              <w:bidi w:val="0"/>
              <w:spacing w:before="0" w:after="283"/>
              <w:jc w:val="left"/>
              <w:rPr>
                <w:b/>
              </w:rPr>
            </w:pPr>
            <w:r>
              <w:rPr>
                <w:b/>
              </w:rPr>
              <w:t>Balance as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4" w:name="xdx_981_eus-gaap--SharesOutstanding_iS_c"/>
            <w:bookmarkEnd w:id="154"/>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9,966,473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65,708,626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(73,577,276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(7,867,665</w:t>
            </w:r>
          </w:p>
        </w:tc>
        <w:tc>
          <w:tcPr>
            <w:tcW w:w="110" w:type="dxa"/>
            <w:tcBorders/>
            <w:shd w:fill="FFFFFF" w:val="clear"/>
            <w:vAlign w:val="center"/>
          </w:tcPr>
          <w:p>
            <w:pPr>
              <w:pStyle w:val="TableContents"/>
              <w:bidi w:val="0"/>
              <w:spacing w:before="0" w:after="283"/>
              <w:jc w:val="left"/>
              <w:rPr>
                <w:b/>
              </w:rPr>
            </w:pPr>
            <w:r>
              <w:rPr>
                <w:b/>
              </w:rPr>
              <w:t>)</w:t>
            </w:r>
            <w:bookmarkStart w:id="155" w:name="xdx_43A_c20260401__20260630_eus-gaap--St"/>
            <w:bookmarkEnd w:id="155"/>
          </w:p>
        </w:tc>
      </w:tr>
      <w:tr>
        <w:trPr/>
        <w:tc>
          <w:tcPr>
            <w:tcW w:w="3440"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6" w:name="xdx_98A_eus-gaap--SharesOutstanding_iS_c"/>
            <w:bookmarkEnd w:id="156"/>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9,966,473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65,708,626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(73,577,276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(7,867,665</w:t>
            </w:r>
          </w:p>
        </w:tc>
        <w:tc>
          <w:tcPr>
            <w:tcW w:w="110" w:type="dxa"/>
            <w:tcBorders/>
            <w:shd w:fill="FFFFFF" w:val="clear"/>
            <w:vAlign w:val="center"/>
          </w:tcPr>
          <w:p>
            <w:pPr>
              <w:pStyle w:val="TableContents"/>
              <w:bidi w:val="0"/>
              <w:spacing w:before="0" w:after="283"/>
              <w:jc w:val="left"/>
              <w:rPr>
                <w:b/>
              </w:rPr>
            </w:pPr>
            <w:r>
              <w:rPr>
                <w:b/>
              </w:rPr>
              <w:t>)</w:t>
            </w:r>
            <w:bookmarkStart w:id="157" w:name="xdx_403_eus-gaap--NetIncomeLoss_zUD8z0ZK"/>
            <w:bookmarkEnd w:id="157"/>
          </w:p>
        </w:tc>
      </w:tr>
      <w:tr>
        <w:trPr/>
        <w:tc>
          <w:tcPr>
            <w:tcW w:w="34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(3,902,894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(3,902,894</w:t>
            </w:r>
          </w:p>
        </w:tc>
        <w:tc>
          <w:tcPr>
            <w:tcW w:w="110" w:type="dxa"/>
            <w:tcBorders/>
            <w:shd w:fill="CCEEFF" w:val="clear"/>
            <w:vAlign w:val="center"/>
          </w:tcPr>
          <w:p>
            <w:pPr>
              <w:pStyle w:val="TableContents"/>
              <w:bidi w:val="0"/>
              <w:spacing w:before="0" w:after="283"/>
              <w:jc w:val="left"/>
              <w:rPr/>
            </w:pPr>
            <w:r>
              <w:rPr/>
              <w:t>)</w:t>
            </w:r>
            <w:bookmarkStart w:id="158" w:name="xdx_400_eus-gaap--AdjustmentsToAdditiona"/>
            <w:bookmarkEnd w:id="158"/>
          </w:p>
        </w:tc>
      </w:tr>
      <w:tr>
        <w:trPr/>
        <w:tc>
          <w:tcPr>
            <w:tcW w:w="3440" w:type="dxa"/>
            <w:tcBorders/>
            <w:shd w:fill="FFFFFF" w:val="clear"/>
            <w:vAlign w:val="center"/>
          </w:tcPr>
          <w:p>
            <w:pPr>
              <w:pStyle w:val="TableContents"/>
              <w:bidi w:val="0"/>
              <w:spacing w:before="0" w:after="283"/>
              <w:jc w:val="left"/>
              <w:rPr/>
            </w:pPr>
            <w:r>
              <w:rPr/>
              <w:t>Stock based compensation (Note 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1,270,215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1,270,215</w:t>
            </w:r>
          </w:p>
        </w:tc>
        <w:tc>
          <w:tcPr>
            <w:tcW w:w="110" w:type="dxa"/>
            <w:tcBorders/>
            <w:shd w:fill="FFFFFF" w:val="clear"/>
            <w:vAlign w:val="center"/>
          </w:tcPr>
          <w:p>
            <w:pPr>
              <w:pStyle w:val="TableContents"/>
              <w:bidi w:val="0"/>
              <w:spacing w:before="0" w:after="283"/>
              <w:jc w:val="left"/>
              <w:rPr/>
            </w:pPr>
            <w:r>
              <w:rPr/>
              <w:t> </w:t>
            </w:r>
            <w:bookmarkStart w:id="159" w:name="xdx_401_eus-gaap--AdjustmentsToAdditiona"/>
            <w:bookmarkEnd w:id="159"/>
          </w:p>
        </w:tc>
      </w:tr>
      <w:tr>
        <w:trPr/>
        <w:tc>
          <w:tcPr>
            <w:tcW w:w="344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1,270,215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1,270,215</w:t>
            </w:r>
          </w:p>
        </w:tc>
        <w:tc>
          <w:tcPr>
            <w:tcW w:w="110" w:type="dxa"/>
            <w:tcBorders/>
            <w:shd w:fill="CCEEFF" w:val="clear"/>
            <w:vAlign w:val="center"/>
          </w:tcPr>
          <w:p>
            <w:pPr>
              <w:pStyle w:val="TableContents"/>
              <w:bidi w:val="0"/>
              <w:spacing w:before="0" w:after="283"/>
              <w:jc w:val="left"/>
              <w:rPr/>
            </w:pPr>
            <w:r>
              <w:rPr/>
              <w:t> </w:t>
            </w:r>
            <w:bookmarkStart w:id="160" w:name="xdx_40B_ecustom--StockIssuedDuringPeriod"/>
            <w:bookmarkEnd w:id="160"/>
          </w:p>
        </w:tc>
      </w:tr>
      <w:tr>
        <w:trPr/>
        <w:tc>
          <w:tcPr>
            <w:tcW w:w="3440" w:type="dxa"/>
            <w:tcBorders/>
            <w:shd w:fill="CCEEFF" w:val="clear"/>
            <w:vAlign w:val="center"/>
          </w:tcPr>
          <w:p>
            <w:pPr>
              <w:pStyle w:val="TableContents"/>
              <w:bidi w:val="0"/>
              <w:spacing w:before="0" w:after="283"/>
              <w:jc w:val="left"/>
              <w:rPr/>
            </w:pPr>
            <w:r>
              <w:rPr/>
              <w:t xml:space="preserve">Transfer from early exercised stock option liability on vesting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313</w:t>
            </w:r>
          </w:p>
        </w:tc>
        <w:tc>
          <w:tcPr>
            <w:tcW w:w="110" w:type="dxa"/>
            <w:tcBorders/>
            <w:shd w:fill="CCEEFF" w:val="clear"/>
            <w:vAlign w:val="center"/>
          </w:tcPr>
          <w:p>
            <w:pPr>
              <w:pStyle w:val="TableContents"/>
              <w:bidi w:val="0"/>
              <w:spacing w:before="0" w:after="283"/>
              <w:jc w:val="left"/>
              <w:rPr/>
            </w:pPr>
            <w:r>
              <w:rPr/>
              <w:t> </w:t>
            </w:r>
            <w:bookmarkStart w:id="161" w:name="xdx_40E_eus-gaap--StockIssuedDuringPerio"/>
            <w:bookmarkEnd w:id="161"/>
          </w:p>
        </w:tc>
      </w:tr>
      <w:tr>
        <w:trPr/>
        <w:tc>
          <w:tcPr>
            <w:tcW w:w="3440" w:type="dxa"/>
            <w:tcBorders/>
            <w:shd w:fill="FFFFFF" w:val="clear"/>
            <w:vAlign w:val="center"/>
          </w:tcPr>
          <w:p>
            <w:pPr>
              <w:pStyle w:val="TableContents"/>
              <w:bidi w:val="0"/>
              <w:spacing w:before="0" w:after="283"/>
              <w:jc w:val="left"/>
              <w:rPr/>
            </w:pPr>
            <w:r>
              <w:rPr/>
              <w:t>Issuance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2" w:name="xdx_98E_eus-gaap--StockIssuedDuringPerio"/>
            <w:bookmarkEnd w:id="162"/>
          </w:p>
        </w:tc>
        <w:tc>
          <w:tcPr>
            <w:tcW w:w="1100" w:type="dxa"/>
            <w:tcBorders/>
            <w:shd w:fill="FFFFFF" w:val="clear"/>
            <w:vAlign w:val="center"/>
          </w:tcPr>
          <w:p>
            <w:pPr>
              <w:pStyle w:val="TableContents"/>
              <w:bidi w:val="0"/>
              <w:spacing w:before="0" w:after="283"/>
              <w:jc w:val="right"/>
              <w:rPr/>
            </w:pPr>
            <w:r>
              <w:rPr/>
              <w:t>476,799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1,254,295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1,254,343</w:t>
            </w:r>
          </w:p>
        </w:tc>
        <w:tc>
          <w:tcPr>
            <w:tcW w:w="110" w:type="dxa"/>
            <w:tcBorders/>
            <w:shd w:fill="FFFFFF" w:val="clear"/>
            <w:vAlign w:val="center"/>
          </w:tcPr>
          <w:p>
            <w:pPr>
              <w:pStyle w:val="TableContents"/>
              <w:bidi w:val="0"/>
              <w:spacing w:before="0" w:after="283"/>
              <w:jc w:val="left"/>
              <w:rPr/>
            </w:pPr>
            <w:r>
              <w:rPr/>
              <w:t> </w:t>
            </w:r>
            <w:bookmarkStart w:id="163" w:name="xdx_405_eus-gaap--StockIssuedDuringPerio"/>
            <w:bookmarkEnd w:id="163"/>
          </w:p>
        </w:tc>
      </w:tr>
      <w:tr>
        <w:trPr/>
        <w:tc>
          <w:tcPr>
            <w:tcW w:w="3440" w:type="dxa"/>
            <w:tcBorders/>
            <w:shd w:fill="CCEEFF" w:val="clear"/>
            <w:vAlign w:val="center"/>
          </w:tcPr>
          <w:p>
            <w:pPr>
              <w:pStyle w:val="TableContents"/>
              <w:bidi w:val="0"/>
              <w:spacing w:before="0" w:after="283"/>
              <w:jc w:val="left"/>
              <w:rPr/>
            </w:pPr>
            <w:r>
              <w:rPr/>
              <w:t>Issuance of common stock pursuant to at-the-market offering, net of issuance costs (Note 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4" w:name="xdx_989_eus-gaap--StockIssuedDuringPerio"/>
            <w:bookmarkEnd w:id="164"/>
          </w:p>
        </w:tc>
        <w:tc>
          <w:tcPr>
            <w:tcW w:w="1100" w:type="dxa"/>
            <w:tcBorders/>
            <w:shd w:fill="CCEEFF" w:val="clear"/>
            <w:vAlign w:val="center"/>
          </w:tcPr>
          <w:p>
            <w:pPr>
              <w:pStyle w:val="TableContents"/>
              <w:bidi w:val="0"/>
              <w:spacing w:before="0" w:after="283"/>
              <w:jc w:val="right"/>
              <w:rPr/>
            </w:pPr>
            <w:r>
              <w:rPr/>
              <w:t>79,503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157,439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157,447</w:t>
            </w:r>
          </w:p>
        </w:tc>
        <w:tc>
          <w:tcPr>
            <w:tcW w:w="110" w:type="dxa"/>
            <w:tcBorders/>
            <w:shd w:fill="CCEEFF" w:val="clear"/>
            <w:vAlign w:val="center"/>
          </w:tcPr>
          <w:p>
            <w:pPr>
              <w:pStyle w:val="TableContents"/>
              <w:bidi w:val="0"/>
              <w:spacing w:before="0" w:after="283"/>
              <w:jc w:val="left"/>
              <w:rPr/>
            </w:pPr>
            <w:r>
              <w:rPr/>
              <w:t> </w:t>
            </w:r>
            <w:bookmarkStart w:id="165" w:name="xdx_40C_eus-gaap--StockIssuedDuringPerio"/>
            <w:bookmarkEnd w:id="165"/>
          </w:p>
        </w:tc>
      </w:tr>
      <w:tr>
        <w:trPr/>
        <w:tc>
          <w:tcPr>
            <w:tcW w:w="3440" w:type="dxa"/>
            <w:tcBorders/>
            <w:shd w:fill="CCEEFF" w:val="clear"/>
            <w:vAlign w:val="center"/>
          </w:tcPr>
          <w:p>
            <w:pPr>
              <w:pStyle w:val="TableContents"/>
              <w:bidi w:val="0"/>
              <w:spacing w:before="0" w:after="283"/>
              <w:jc w:val="left"/>
              <w:rPr/>
            </w:pPr>
            <w:r>
              <w:rPr/>
              <w:t>Issuance of common stock pursuant to at-the-market offering,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 w:name="xdx_98A_eus-gaap--StockIssuedDuringPerio"/>
            <w:bookmarkEnd w:id="166"/>
          </w:p>
        </w:tc>
        <w:tc>
          <w:tcPr>
            <w:tcW w:w="1100" w:type="dxa"/>
            <w:tcBorders/>
            <w:shd w:fill="CCEEFF" w:val="clear"/>
            <w:vAlign w:val="center"/>
          </w:tcPr>
          <w:p>
            <w:pPr>
              <w:pStyle w:val="TableContents"/>
              <w:bidi w:val="0"/>
              <w:spacing w:before="0" w:after="283"/>
              <w:jc w:val="right"/>
              <w:rPr/>
            </w:pPr>
            <w:r>
              <w:rPr/>
              <w:t>79,503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157,439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157,447</w:t>
            </w:r>
          </w:p>
        </w:tc>
        <w:tc>
          <w:tcPr>
            <w:tcW w:w="110" w:type="dxa"/>
            <w:tcBorders/>
            <w:shd w:fill="CCEEFF" w:val="clear"/>
            <w:vAlign w:val="center"/>
          </w:tcPr>
          <w:p>
            <w:pPr>
              <w:pStyle w:val="TableContents"/>
              <w:bidi w:val="0"/>
              <w:spacing w:before="0" w:after="283"/>
              <w:jc w:val="left"/>
              <w:rPr/>
            </w:pPr>
            <w:r>
              <w:rPr/>
              <w:t> </w:t>
            </w:r>
            <w:bookmarkStart w:id="167" w:name="xdx_40F_ecustom--StockIssuedDuringPeriod"/>
            <w:bookmarkEnd w:id="167"/>
          </w:p>
        </w:tc>
      </w:tr>
      <w:tr>
        <w:trPr/>
        <w:tc>
          <w:tcPr>
            <w:tcW w:w="3440" w:type="dxa"/>
            <w:tcBorders/>
            <w:shd w:fill="FFFFFF" w:val="clear"/>
            <w:vAlign w:val="center"/>
          </w:tcPr>
          <w:p>
            <w:pPr>
              <w:pStyle w:val="TableContents"/>
              <w:bidi w:val="0"/>
              <w:spacing w:before="0" w:after="283"/>
              <w:jc w:val="left"/>
              <w:rPr/>
            </w:pPr>
            <w:r>
              <w:rPr/>
              <w:t>Issuance of common stock for settlement of RSU</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 w:name="xdx_985_ecustom--StockIssuedDuringPeriod"/>
            <w:bookmarkEnd w:id="168"/>
          </w:p>
        </w:tc>
        <w:tc>
          <w:tcPr>
            <w:tcW w:w="1100" w:type="dxa"/>
            <w:tcBorders/>
            <w:shd w:fill="FFFFFF" w:val="clear"/>
            <w:vAlign w:val="center"/>
          </w:tcPr>
          <w:p>
            <w:pPr>
              <w:pStyle w:val="TableContents"/>
              <w:bidi w:val="0"/>
              <w:spacing w:before="0" w:after="283"/>
              <w:jc w:val="right"/>
              <w:rPr/>
            </w:pPr>
            <w:r>
              <w:rPr/>
              <w:t>660,234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9" w:name="xdx_400_ecustom--StockIssuedDuringPeriod"/>
            <w:bookmarkEnd w:id="169"/>
          </w:p>
        </w:tc>
      </w:tr>
      <w:tr>
        <w:trPr/>
        <w:tc>
          <w:tcPr>
            <w:tcW w:w="3440" w:type="dxa"/>
            <w:tcBorders/>
            <w:shd w:fill="CCEEFF" w:val="clear"/>
            <w:vAlign w:val="center"/>
          </w:tcPr>
          <w:p>
            <w:pPr>
              <w:pStyle w:val="TableContents"/>
              <w:bidi w:val="0"/>
              <w:spacing w:before="0" w:after="283"/>
              <w:jc w:val="left"/>
              <w:rPr/>
            </w:pPr>
            <w:r>
              <w:rPr/>
              <w:t>Issuance of common stock to vendor (Note 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 w:name="xdx_980_ecustom--StockIssuedDuringPeriod"/>
            <w:bookmarkEnd w:id="170"/>
          </w:p>
        </w:tc>
        <w:tc>
          <w:tcPr>
            <w:tcW w:w="1100" w:type="dxa"/>
            <w:tcBorders/>
            <w:shd w:fill="CCEEFF" w:val="clear"/>
            <w:vAlign w:val="center"/>
          </w:tcPr>
          <w:p>
            <w:pPr>
              <w:pStyle w:val="TableContents"/>
              <w:bidi w:val="0"/>
              <w:spacing w:before="0" w:after="283"/>
              <w:jc w:val="right"/>
              <w:rPr/>
            </w:pPr>
            <w:r>
              <w:rPr/>
              <w:t>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71" w:name="xdx_404_ecustom--PartllyRepaymentOfConve"/>
            <w:bookmarkEnd w:id="171"/>
          </w:p>
        </w:tc>
      </w:tr>
      <w:tr>
        <w:trPr/>
        <w:tc>
          <w:tcPr>
            <w:tcW w:w="3440" w:type="dxa"/>
            <w:tcBorders/>
            <w:shd w:fill="FFFFFF" w:val="clear"/>
            <w:vAlign w:val="center"/>
          </w:tcPr>
          <w:p>
            <w:pPr>
              <w:pStyle w:val="TableContents"/>
              <w:bidi w:val="0"/>
              <w:spacing w:before="0" w:after="283"/>
              <w:jc w:val="left"/>
              <w:rPr/>
            </w:pPr>
            <w:r>
              <w:rPr/>
              <w:t>Issuance of common stock for partial repayment of 2025 convertible note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2" w:name="xdx_980_eus-gaap--StockIssuedDuringPerio"/>
            <w:bookmarkEnd w:id="172"/>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380,648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847,343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847,381</w:t>
            </w:r>
          </w:p>
        </w:tc>
        <w:tc>
          <w:tcPr>
            <w:tcW w:w="110" w:type="dxa"/>
            <w:tcBorders/>
            <w:shd w:fill="FFFFFF" w:val="clear"/>
            <w:vAlign w:val="center"/>
          </w:tcPr>
          <w:p>
            <w:pPr>
              <w:pStyle w:val="TableContents"/>
              <w:bidi w:val="0"/>
              <w:spacing w:before="0" w:after="283"/>
              <w:jc w:val="left"/>
              <w:rPr/>
            </w:pPr>
            <w:r>
              <w:rPr/>
              <w:t> </w:t>
            </w:r>
            <w:bookmarkStart w:id="173" w:name="xdx_431_c20260401__20260630_eus-gaap--St"/>
            <w:bookmarkEnd w:id="173"/>
          </w:p>
        </w:tc>
      </w:tr>
      <w:tr>
        <w:trPr/>
        <w:tc>
          <w:tcPr>
            <w:tcW w:w="3440" w:type="dxa"/>
            <w:tcBorders/>
            <w:shd w:fill="CCEEFF" w:val="clear"/>
            <w:vAlign w:val="center"/>
          </w:tcPr>
          <w:p>
            <w:pPr>
              <w:pStyle w:val="TableContents"/>
              <w:bidi w:val="0"/>
              <w:spacing w:before="0" w:after="283"/>
              <w:jc w:val="left"/>
              <w:rPr>
                <w:b/>
              </w:rPr>
            </w:pPr>
            <w:r>
              <w:rPr>
                <w:b/>
              </w:rPr>
              <w:t>Balance as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4" w:name="xdx_98A_eus-gaap--SharesOutstanding_iE_c"/>
            <w:bookmarkEnd w:id="17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11,628,657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69,238,158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(77,480,170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(8,240,860</w:t>
            </w:r>
          </w:p>
        </w:tc>
        <w:tc>
          <w:tcPr>
            <w:tcW w:w="110" w:type="dxa"/>
            <w:tcBorders/>
            <w:shd w:fill="CCEEFF" w:val="clear"/>
            <w:vAlign w:val="center"/>
          </w:tcPr>
          <w:p>
            <w:pPr>
              <w:pStyle w:val="TableContents"/>
              <w:bidi w:val="0"/>
              <w:spacing w:before="0" w:after="283"/>
              <w:jc w:val="left"/>
              <w:rPr>
                <w:b/>
              </w:rPr>
            </w:pPr>
            <w:r>
              <w:rPr>
                <w:b/>
              </w:rPr>
              <w:t>)</w:t>
            </w:r>
            <w:bookmarkStart w:id="175" w:name="xdx_437_c20260401__20260630_eus-gaap--St"/>
            <w:bookmarkEnd w:id="175"/>
          </w:p>
        </w:tc>
      </w:tr>
      <w:tr>
        <w:trPr/>
        <w:tc>
          <w:tcPr>
            <w:tcW w:w="3440" w:type="dxa"/>
            <w:tcBorders/>
            <w:shd w:fill="FFFFFF" w:val="clear"/>
            <w:vAlign w:val="center"/>
          </w:tcPr>
          <w:p>
            <w:pPr>
              <w:pStyle w:val="TableContents"/>
              <w:bidi w:val="0"/>
              <w:spacing w:before="0" w:after="283"/>
              <w:jc w:val="left"/>
              <w:rPr>
                <w:b/>
              </w:rPr>
            </w:pPr>
            <w:r>
              <w:rPr>
                <w:b/>
              </w:rPr>
              <w:t xml:space="preserve">Balance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6" w:name="xdx_988_eus-gaap--SharesOutstanding_iE_c"/>
            <w:bookmarkEnd w:id="176"/>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11,628,657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69,238,158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(77,480,170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(8,240,860</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13"/>
        <w:gridCol w:w="60"/>
        <w:gridCol w:w="60"/>
        <w:gridCol w:w="845"/>
        <w:gridCol w:w="80"/>
        <w:gridCol w:w="60"/>
        <w:gridCol w:w="223"/>
        <w:gridCol w:w="603"/>
        <w:gridCol w:w="60"/>
        <w:gridCol w:w="60"/>
        <w:gridCol w:w="125"/>
        <w:gridCol w:w="950"/>
        <w:gridCol w:w="80"/>
        <w:gridCol w:w="60"/>
        <w:gridCol w:w="125"/>
        <w:gridCol w:w="1010"/>
        <w:gridCol w:w="80"/>
        <w:gridCol w:w="60"/>
        <w:gridCol w:w="126"/>
        <w:gridCol w:w="1027"/>
        <w:gridCol w:w="98"/>
      </w:tblGrid>
      <w:tr>
        <w:trPr/>
        <w:tc>
          <w:tcPr>
            <w:tcW w:w="441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177" w:name="xdx_4BC_us-gaap--StatementEquityComponen"/>
            <w:bookmarkEnd w:id="177"/>
          </w:p>
        </w:tc>
        <w:tc>
          <w:tcPr>
            <w:tcW w:w="82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w:t>
            </w:r>
            <w:bookmarkStart w:id="178" w:name="xdx_F59_z6uqVZ810w02"/>
            <w:bookmarkEnd w:id="178"/>
            <w:r>
              <w:rPr>
                <w:rFonts w:ascii="Times New Roman;Times;Serif" w:hAnsi="Times New Roman;Times;Serif"/>
                <w:b/>
                <w:i w:val="false"/>
                <w:caps w:val="false"/>
                <w:smallCaps w:val="false"/>
                <w:sz w:val="20"/>
              </w:rPr>
              <w:t>(1)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179" w:name="xdx_4B2_us-gaap--StatementEquityComponen"/>
            <w:bookmarkEnd w:id="179"/>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capital </w:t>
            </w:r>
            <w:bookmarkStart w:id="180" w:name="xdx_F58_zaLGwjk0LBHb"/>
            <w:bookmarkEnd w:id="180"/>
            <w:r>
              <w:rPr>
                <w:rFonts w:ascii="Times New Roman;Times;Serif" w:hAnsi="Times New Roman;Times;Serif"/>
                <w:b/>
                <w:i w:val="false"/>
                <w:caps w:val="false"/>
                <w:smallCaps w:val="false"/>
                <w:sz w:val="20"/>
              </w:rPr>
              <w:t>(1)</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181" w:name="xdx_4B1_us-gaap--StatementEquityComponen"/>
            <w:bookmarkEnd w:id="181"/>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182" w:name="xdx_4B4_z6eamWCCZX93"/>
            <w:bookmarkEnd w:id="182"/>
          </w:p>
        </w:tc>
        <w:tc>
          <w:tcPr>
            <w:tcW w:w="11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7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br/>
              <w:t>paid-in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3"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1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capital </w:t>
            </w:r>
            <w:r>
              <w:rPr>
                <w:rFonts w:ascii="Times New Roman;Times;Serif" w:hAnsi="Times New Roman;Times;Serif"/>
                <w:b/>
                <w:i w:val="false"/>
                <w:caps w:val="false"/>
                <w:smallCaps w:val="false"/>
                <w:position w:val="7"/>
                <w:sz w:val="16"/>
                <w:sz w:val="20"/>
              </w:rPr>
              <w:t>(1)</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8" w:type="dxa"/>
            <w:tcBorders/>
            <w:vAlign w:val="center"/>
          </w:tcPr>
          <w:p>
            <w:pPr>
              <w:pStyle w:val="TableContents"/>
              <w:bidi w:val="0"/>
              <w:spacing w:before="0" w:after="283"/>
              <w:jc w:val="center"/>
              <w:rPr>
                <w:caps w:val="false"/>
                <w:smallCaps w:val="false"/>
              </w:rPr>
            </w:pPr>
            <w:r>
              <w:rPr>
                <w:caps w:val="false"/>
                <w:smallCaps w:val="false"/>
              </w:rPr>
              <w:t> </w:t>
            </w:r>
            <w:bookmarkStart w:id="183" w:name="xdx_430_c20250101__20250331_eus-gaap--St"/>
            <w:bookmarkEnd w:id="183"/>
          </w:p>
        </w:tc>
      </w:tr>
      <w:tr>
        <w:trPr/>
        <w:tc>
          <w:tcPr>
            <w:tcW w:w="441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at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4" w:name="xdx_989_eus-gaap--SharesOutstanding_iS_c"/>
            <w:bookmarkEnd w:id="184"/>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4,773,628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33,232,704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(52,618,948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(19,385,784</w:t>
            </w:r>
          </w:p>
        </w:tc>
        <w:tc>
          <w:tcPr>
            <w:tcW w:w="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85" w:name="xdx_403_eus-gaap--NetIncomeLoss_zKkLjGH1"/>
            <w:bookmarkEnd w:id="185"/>
          </w:p>
        </w:tc>
      </w:tr>
      <w:tr>
        <w:trPr/>
        <w:tc>
          <w:tcPr>
            <w:tcW w:w="4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(3,809,700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(3,809,700</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86" w:name="xdx_40A_ecustom--StockIssuedDuringPeriod"/>
            <w:bookmarkEnd w:id="186"/>
          </w:p>
        </w:tc>
      </w:tr>
      <w:tr>
        <w:trPr/>
        <w:tc>
          <w:tcPr>
            <w:tcW w:w="4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from early exercised stock option liability on vesting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7" w:name="xdx_404_eus-gaap--AdjustmentsToAdditiona"/>
            <w:bookmarkEnd w:id="187"/>
          </w:p>
        </w:tc>
      </w:tr>
      <w:tr>
        <w:trPr/>
        <w:tc>
          <w:tcPr>
            <w:tcW w:w="4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(Note 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2,954,279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2,954,279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8" w:name="xdx_408_eus-gaap--StockIssuedDuringPerio"/>
            <w:bookmarkEnd w:id="188"/>
          </w:p>
        </w:tc>
      </w:tr>
      <w:tr>
        <w:trPr/>
        <w:tc>
          <w:tcPr>
            <w:tcW w:w="4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9" w:name="xdx_985_eus-gaap--StockIssuedDuringPerio"/>
            <w:bookmarkEnd w:id="189"/>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16,414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0" w:name="xdx_40C_ecustom--StockIssuedDuringPeriod"/>
            <w:bookmarkEnd w:id="190"/>
          </w:p>
        </w:tc>
      </w:tr>
      <w:tr>
        <w:trPr/>
        <w:tc>
          <w:tcPr>
            <w:tcW w:w="4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and warrants from January 2025 public offering, net of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1" w:name="xdx_98F_ecustom--StockIssuedDuringPeriod"/>
            <w:bookmarkEnd w:id="191"/>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479,200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4,591,021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4,591,069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2" w:name="xdx_400_ecustom--StockIssuedDuringPeriod"/>
            <w:bookmarkEnd w:id="192"/>
          </w:p>
        </w:tc>
      </w:tr>
      <w:tr>
        <w:trPr/>
        <w:tc>
          <w:tcPr>
            <w:tcW w:w="4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upon warrant inducement, net of offering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3" w:name="xdx_98D_ecustom--StockIssuedDuringPeriod"/>
            <w:bookmarkEnd w:id="193"/>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479,200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2,798,151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2,798,199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4" w:name="xdx_40B_eus-gaap--StockholdersEquityOthe"/>
            <w:bookmarkEnd w:id="194"/>
          </w:p>
        </w:tc>
      </w:tr>
      <w:tr>
        <w:trPr/>
        <w:tc>
          <w:tcPr>
            <w:tcW w:w="4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unvested early exercised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5" w:name="xdx_986_eus-gaap--StockholdersEquityOthe"/>
            <w:bookmarkEnd w:id="195"/>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6" w:name="xdx_40C_ecustom--StockIssuedDuringPeriod"/>
            <w:bookmarkEnd w:id="196"/>
          </w:p>
        </w:tc>
      </w:tr>
      <w:tr>
        <w:trPr/>
        <w:tc>
          <w:tcPr>
            <w:tcW w:w="4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for settlement of RSU</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7" w:name="xdx_985_ecustom--StockIssuedDuringPeriod"/>
            <w:bookmarkEnd w:id="197"/>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8" w:name="xdx_439_c20250401__20250630_eus-gaap--St"/>
            <w:bookmarkEnd w:id="198"/>
          </w:p>
        </w:tc>
      </w:tr>
      <w:tr>
        <w:trPr/>
        <w:tc>
          <w:tcPr>
            <w:tcW w:w="441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at March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9" w:name="xdx_982_eus-gaap--SharesOutstanding_iS_c"/>
            <w:bookmarkEnd w:id="199"/>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5,765,048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43,592,923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(56,428,648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(12,835,162</w:t>
            </w:r>
          </w:p>
        </w:tc>
        <w:tc>
          <w:tcPr>
            <w:tcW w:w="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200" w:name="xdx_403_eus-gaap--NetIncomeLoss_zv0loi2A"/>
            <w:bookmarkEnd w:id="200"/>
          </w:p>
        </w:tc>
      </w:tr>
      <w:tr>
        <w:trPr/>
        <w:tc>
          <w:tcPr>
            <w:tcW w:w="4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(3,704,438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(3,704,438</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1" w:name="xdx_405_ecustom--StockIssuedDuringPeriod"/>
            <w:bookmarkEnd w:id="201"/>
          </w:p>
        </w:tc>
      </w:tr>
      <w:tr>
        <w:trPr/>
        <w:tc>
          <w:tcPr>
            <w:tcW w:w="4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from early exercised stock option liability on vesting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2" w:name="xdx_409_eus-gaap--AdjustmentsToAdditiona"/>
            <w:bookmarkEnd w:id="202"/>
          </w:p>
        </w:tc>
      </w:tr>
      <w:tr>
        <w:trPr/>
        <w:tc>
          <w:tcPr>
            <w:tcW w:w="4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(Note 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1,426,400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1,426,400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3" w:name="xdx_407_eus-gaap--StockIssuedDuringPerio"/>
            <w:bookmarkEnd w:id="203"/>
          </w:p>
        </w:tc>
      </w:tr>
      <w:tr>
        <w:trPr/>
        <w:tc>
          <w:tcPr>
            <w:tcW w:w="4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(Note 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4" w:name="xdx_987_eus-gaap--StockIssuedDuringPerio"/>
            <w:bookmarkEnd w:id="204"/>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106,136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5" w:name="xdx_401_eus-gaap--StockIssuedDuringPerio"/>
            <w:bookmarkEnd w:id="205"/>
          </w:p>
        </w:tc>
      </w:tr>
      <w:tr>
        <w:trPr/>
        <w:tc>
          <w:tcPr>
            <w:tcW w:w="4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6" w:name="xdx_982_eus-gaap--StockIssuedDuringPerio"/>
            <w:bookmarkEnd w:id="206"/>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106,136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7" w:name="xdx_40D_ecustom--StockIssuedDuringPeriod"/>
            <w:bookmarkEnd w:id="207"/>
          </w:p>
        </w:tc>
      </w:tr>
      <w:tr>
        <w:trPr/>
        <w:tc>
          <w:tcPr>
            <w:tcW w:w="4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to short- term loan holders (Note 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8" w:name="xdx_984_ecustom--StockIssuedDuringPeriod"/>
            <w:bookmarkEnd w:id="208"/>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173,184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6,199,983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6,200,000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9" w:name="xdx_406_ecustom--StockIssuedDuringPeriod"/>
            <w:bookmarkEnd w:id="209"/>
          </w:p>
        </w:tc>
      </w:tr>
      <w:tr>
        <w:trPr/>
        <w:tc>
          <w:tcPr>
            <w:tcW w:w="4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to short- term loan 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0" w:name="xdx_98D_ecustom--StockIssuedDuringPeriod"/>
            <w:bookmarkEnd w:id="210"/>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173,184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6,199,983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6,200,000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1" w:name="xdx_409_ecustom--StockIssuedDuringPeriod"/>
            <w:bookmarkEnd w:id="211"/>
          </w:p>
        </w:tc>
      </w:tr>
      <w:tr>
        <w:trPr/>
        <w:tc>
          <w:tcPr>
            <w:tcW w:w="4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to PIPE investors (Note 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2" w:name="xdx_980_ecustom--StockIssuedDuringPeriod"/>
            <w:bookmarkEnd w:id="212"/>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549,999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3" w:name="xdx_404_ecustom--StockIssuedDuringPeriod"/>
            <w:bookmarkEnd w:id="213"/>
          </w:p>
        </w:tc>
      </w:tr>
      <w:tr>
        <w:trPr/>
        <w:tc>
          <w:tcPr>
            <w:tcW w:w="4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to PIPE investors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4" w:name="xdx_982_ecustom--StockIssuedDuringPeriod"/>
            <w:bookmarkEnd w:id="214"/>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549,999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5" w:name="xdx_405_ecustom--StockIssuedDuringPeriod"/>
            <w:bookmarkEnd w:id="215"/>
          </w:p>
        </w:tc>
      </w:tr>
      <w:tr>
        <w:trPr/>
        <w:tc>
          <w:tcPr>
            <w:tcW w:w="4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to vendor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6" w:name="xdx_98F_ecustom--StockIssuedDuringPeriod"/>
            <w:bookmarkEnd w:id="216"/>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80,612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7" w:name="xdx_403_ecustom--StockIssuedDuringPeriod"/>
            <w:bookmarkEnd w:id="217"/>
          </w:p>
        </w:tc>
      </w:tr>
      <w:tr>
        <w:trPr/>
        <w:tc>
          <w:tcPr>
            <w:tcW w:w="4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under license arrangement (Note 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8" w:name="xdx_986_ecustom--StockIssuedDuringPeriod"/>
            <w:bookmarkEnd w:id="218"/>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342,995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9" w:name="xdx_406_ecustom--StockIssuedDuringPeriod"/>
            <w:bookmarkEnd w:id="219"/>
          </w:p>
        </w:tc>
      </w:tr>
      <w:tr>
        <w:trPr/>
        <w:tc>
          <w:tcPr>
            <w:tcW w:w="4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under license arrangement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0" w:name="xdx_98C_ecustom--StockIssuedDuringPeriod"/>
            <w:bookmarkEnd w:id="220"/>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342,995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1" w:name="xdx_40F_ecustom--StockIssuedDuringPeriod"/>
            <w:bookmarkEnd w:id="221"/>
          </w:p>
        </w:tc>
      </w:tr>
      <w:tr>
        <w:trPr/>
        <w:tc>
          <w:tcPr>
            <w:tcW w:w="4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for settlement of RSU</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2" w:name="xdx_98D_ecustom--StockIssuedDuringPeriod"/>
            <w:bookmarkEnd w:id="222"/>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135,340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3" w:name="xdx_409_ecustom--StockIssuedDuringPeriod"/>
            <w:bookmarkEnd w:id="223"/>
          </w:p>
        </w:tc>
      </w:tr>
      <w:tr>
        <w:trPr/>
        <w:tc>
          <w:tcPr>
            <w:tcW w:w="4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from public offering, net of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4" w:name="xdx_98B_ecustom--StockIssuedDuringPeriod"/>
            <w:bookmarkEnd w:id="224"/>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3,945,449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3,945,675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5" w:name="xdx_433_c20250401__20250630_eus-gaap--St"/>
            <w:bookmarkEnd w:id="225"/>
          </w:p>
        </w:tc>
      </w:tr>
      <w:tr>
        <w:trPr/>
        <w:tc>
          <w:tcPr>
            <w:tcW w:w="441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at 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26" w:name="xdx_98E_eus-gaap--SharesOutstanding_iE_c"/>
            <w:bookmarkEnd w:id="226"/>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8,427,484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56,244,793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(60,133,086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(3,887,464</w:t>
            </w:r>
          </w:p>
        </w:tc>
        <w:tc>
          <w:tcPr>
            <w:tcW w:w="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both"/>
              <w:rPr>
                <w:rFonts w:ascii="Times New Roman;Times;Serif" w:hAnsi="Times New Roman;Times;Serif"/>
                <w:sz w:val="20"/>
              </w:rPr>
            </w:pPr>
            <w:bookmarkStart w:id="227" w:name="xdx_F0A_z8v2ffIsbyD7"/>
            <w:bookmarkEnd w:id="227"/>
            <w:r>
              <w:rPr>
                <w:rFonts w:ascii="Times New Roman;Times;Serif" w:hAnsi="Times New Roman;Times;Serif"/>
                <w:sz w:val="20"/>
              </w:rPr>
              <w:t>(1)</w:t>
            </w:r>
          </w:p>
        </w:tc>
        <w:tc>
          <w:tcPr>
            <w:tcW w:w="9914" w:type="dxa"/>
            <w:tcBorders/>
            <w:vAlign w:val="center"/>
          </w:tcPr>
          <w:p>
            <w:pPr>
              <w:pStyle w:val="TableContents"/>
              <w:bidi w:val="0"/>
              <w:spacing w:before="0" w:after="283"/>
              <w:jc w:val="both"/>
              <w:rPr>
                <w:rFonts w:ascii="Times New Roman;Times;Serif" w:hAnsi="Times New Roman;Times;Serif"/>
                <w:sz w:val="20"/>
              </w:rPr>
            </w:pPr>
            <w:bookmarkStart w:id="228" w:name="xdx_F1C_zmGT4sHVbn94"/>
            <w:bookmarkEnd w:id="228"/>
            <w:r>
              <w:rPr>
                <w:rFonts w:ascii="Times New Roman;Times;Serif" w:hAnsi="Times New Roman;Times;Serif"/>
                <w:sz w:val="20"/>
              </w:rPr>
              <w:t xml:space="preserve">Amounts have been adjusted to reflect the </w:t>
            </w:r>
            <w:bookmarkStart w:id="229" w:name="xdx_90A_eus-gaap--StockholdersEquityReve"/>
            <w:bookmarkEnd w:id="229"/>
            <w:r>
              <w:rPr>
                <w:rFonts w:ascii="Times New Roman;Times;Serif" w:hAnsi="Times New Roman;Times;Serif"/>
                <w:sz w:val="20"/>
              </w:rPr>
              <w:t>1-for-10 reverse stock split that became effective on September 8, 2025. See Note 2 “Basis of presentation and summary of significant accounting policies” for additional details.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0" w:name="a_006"/>
      <w:bookmarkEnd w:id="230"/>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USD)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1" w:name="xdx_305_112_zlXTtbsHElj4"/>
      <w:bookmarkStart w:id="232" w:name="xdx_305_112_zlXTtbsHElj4"/>
      <w:bookmarkEnd w:id="232"/>
    </w:p>
    <w:tbl>
      <w:tblPr>
        <w:tblW w:w="10205" w:type="dxa"/>
        <w:jc w:val="left"/>
        <w:tblInd w:w="0" w:type="dxa"/>
        <w:tblLayout w:type="fixed"/>
        <w:tblCellMar>
          <w:top w:w="0" w:type="dxa"/>
          <w:left w:w="0" w:type="dxa"/>
          <w:bottom w:w="0" w:type="dxa"/>
          <w:right w:w="0" w:type="dxa"/>
        </w:tblCellMar>
      </w:tblPr>
      <w:tblGrid>
        <w:gridCol w:w="6536"/>
        <w:gridCol w:w="60"/>
        <w:gridCol w:w="195"/>
        <w:gridCol w:w="1470"/>
        <w:gridCol w:w="95"/>
        <w:gridCol w:w="60"/>
        <w:gridCol w:w="189"/>
        <w:gridCol w:w="1488"/>
        <w:gridCol w:w="112"/>
      </w:tblGrid>
      <w:tr>
        <w:trPr/>
        <w:tc>
          <w:tcPr>
            <w:tcW w:w="65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33" w:name="xdx_49F_20260101__20260630_zJSlmJJEKyKb"/>
            <w:bookmarkEnd w:id="233"/>
          </w:p>
        </w:tc>
        <w:tc>
          <w:tcPr>
            <w:tcW w:w="1665" w:type="dxa"/>
            <w:gridSpan w:val="2"/>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34" w:name="xdx_497_20250101__20250630_zNP8OAdU7uYe"/>
            <w:bookmarkEnd w:id="234"/>
          </w:p>
        </w:tc>
        <w:tc>
          <w:tcPr>
            <w:tcW w:w="1677" w:type="dxa"/>
            <w:gridSpan w:val="2"/>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 2025</w:t>
            </w:r>
          </w:p>
        </w:tc>
        <w:tc>
          <w:tcPr>
            <w:tcW w:w="112" w:type="dxa"/>
            <w:tcBorders/>
            <w:vAlign w:val="center"/>
          </w:tcPr>
          <w:p>
            <w:pPr>
              <w:pStyle w:val="TableContents"/>
              <w:bidi w:val="0"/>
              <w:spacing w:before="0" w:after="283"/>
              <w:jc w:val="center"/>
              <w:rPr/>
            </w:pPr>
            <w:r>
              <w:rPr/>
              <w:t> </w:t>
            </w:r>
            <w:bookmarkStart w:id="235" w:name="xdx_406_eus-gaap--NetCashProvidedByUsedI"/>
            <w:bookmarkEnd w:id="235"/>
          </w:p>
        </w:tc>
      </w:tr>
      <w:tr>
        <w:trPr/>
        <w:tc>
          <w:tcPr>
            <w:tcW w:w="6536"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36" w:name="xdx_40C_eus-gaap--NetIncomeLoss_i01_maNC"/>
            <w:bookmarkEnd w:id="236"/>
          </w:p>
        </w:tc>
      </w:tr>
      <w:tr>
        <w:trPr/>
        <w:tc>
          <w:tcPr>
            <w:tcW w:w="653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b/>
              </w:rPr>
            </w:pPr>
            <w:r>
              <w:rPr>
                <w:b/>
              </w:rPr>
              <w:t>$</w:t>
            </w:r>
          </w:p>
        </w:tc>
        <w:tc>
          <w:tcPr>
            <w:tcW w:w="1470" w:type="dxa"/>
            <w:tcBorders/>
            <w:shd w:fill="FFFFFF" w:val="clear"/>
            <w:vAlign w:val="center"/>
          </w:tcPr>
          <w:p>
            <w:pPr>
              <w:pStyle w:val="TableContents"/>
              <w:bidi w:val="0"/>
              <w:spacing w:before="0" w:after="283"/>
              <w:jc w:val="right"/>
              <w:rPr>
                <w:b/>
              </w:rPr>
            </w:pPr>
            <w:r>
              <w:rPr>
                <w:b/>
              </w:rPr>
              <w:t>(9,137,586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b/>
              </w:rPr>
            </w:pPr>
            <w:r>
              <w:rPr>
                <w:b/>
              </w:rPr>
              <w:t>$</w:t>
            </w:r>
          </w:p>
        </w:tc>
        <w:tc>
          <w:tcPr>
            <w:tcW w:w="1488" w:type="dxa"/>
            <w:tcBorders/>
            <w:shd w:fill="FFFFFF" w:val="clear"/>
            <w:vAlign w:val="center"/>
          </w:tcPr>
          <w:p>
            <w:pPr>
              <w:pStyle w:val="TableContents"/>
              <w:bidi w:val="0"/>
              <w:spacing w:before="0" w:after="283"/>
              <w:jc w:val="right"/>
              <w:rPr>
                <w:b/>
              </w:rPr>
            </w:pPr>
            <w:r>
              <w:rPr>
                <w:b/>
              </w:rPr>
              <w:t>(7,514,138</w:t>
            </w:r>
          </w:p>
        </w:tc>
        <w:tc>
          <w:tcPr>
            <w:tcW w:w="112" w:type="dxa"/>
            <w:tcBorders/>
            <w:shd w:fill="FFFFFF" w:val="clear"/>
            <w:vAlign w:val="center"/>
          </w:tcPr>
          <w:p>
            <w:pPr>
              <w:pStyle w:val="TableContents"/>
              <w:bidi w:val="0"/>
              <w:spacing w:before="0" w:after="283"/>
              <w:jc w:val="left"/>
              <w:rPr>
                <w:b/>
              </w:rPr>
            </w:pPr>
            <w:r>
              <w:rPr>
                <w:b/>
              </w:rPr>
              <w:t>)</w:t>
            </w:r>
          </w:p>
        </w:tc>
      </w:tr>
      <w:tr>
        <w:trPr/>
        <w:tc>
          <w:tcPr>
            <w:tcW w:w="65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37" w:name="xdx_409_eus-gaap--AdjustmentsToReconcile"/>
            <w:bookmarkEnd w:id="237"/>
          </w:p>
        </w:tc>
      </w:tr>
      <w:tr>
        <w:trPr/>
        <w:tc>
          <w:tcPr>
            <w:tcW w:w="6536" w:type="dxa"/>
            <w:tcBorders/>
            <w:shd w:fill="FFFFFF" w:val="clear"/>
            <w:vAlign w:val="center"/>
          </w:tcPr>
          <w:p>
            <w:pPr>
              <w:pStyle w:val="TableContents"/>
              <w:bidi w:val="0"/>
              <w:spacing w:before="0" w:after="283"/>
              <w:jc w:val="left"/>
              <w:rPr/>
            </w:pPr>
            <w:r>
              <w:rPr/>
              <w:t>Adjustments to reconcile net loss to 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38" w:name="xdx_40F_eus-gaap--ShareBasedCompensation"/>
            <w:bookmarkEnd w:id="238"/>
          </w:p>
        </w:tc>
      </w:tr>
      <w:tr>
        <w:trPr/>
        <w:tc>
          <w:tcPr>
            <w:tcW w:w="6536"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2,780,474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4,380,679</w:t>
            </w:r>
          </w:p>
        </w:tc>
        <w:tc>
          <w:tcPr>
            <w:tcW w:w="112" w:type="dxa"/>
            <w:tcBorders/>
            <w:shd w:fill="CCEEFF" w:val="clear"/>
            <w:vAlign w:val="center"/>
          </w:tcPr>
          <w:p>
            <w:pPr>
              <w:pStyle w:val="TableContents"/>
              <w:bidi w:val="0"/>
              <w:spacing w:before="0" w:after="283"/>
              <w:jc w:val="left"/>
              <w:rPr/>
            </w:pPr>
            <w:r>
              <w:rPr/>
              <w:t> </w:t>
            </w:r>
            <w:bookmarkStart w:id="239" w:name="xdx_40D_eus-gaap--MarketingExpense_i02_m"/>
            <w:bookmarkEnd w:id="239"/>
          </w:p>
        </w:tc>
      </w:tr>
      <w:tr>
        <w:trPr/>
        <w:tc>
          <w:tcPr>
            <w:tcW w:w="6536" w:type="dxa"/>
            <w:tcBorders/>
            <w:shd w:fill="FFFFFF" w:val="clear"/>
            <w:vAlign w:val="center"/>
          </w:tcPr>
          <w:p>
            <w:pPr>
              <w:pStyle w:val="TableContents"/>
              <w:bidi w:val="0"/>
              <w:spacing w:before="0" w:after="283"/>
              <w:jc w:val="left"/>
              <w:rPr/>
            </w:pPr>
            <w:r>
              <w:rPr/>
              <w:t>Non-cash marketing expense for stock issued to vendor</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151,128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40" w:name="xdx_40A_eus-gaap--AmortizationOfFinancin"/>
            <w:bookmarkEnd w:id="240"/>
          </w:p>
        </w:tc>
      </w:tr>
      <w:tr>
        <w:trPr/>
        <w:tc>
          <w:tcPr>
            <w:tcW w:w="6536" w:type="dxa"/>
            <w:tcBorders/>
            <w:shd w:fill="CCEEFF" w:val="clear"/>
            <w:vAlign w:val="center"/>
          </w:tcPr>
          <w:p>
            <w:pPr>
              <w:pStyle w:val="TableContents"/>
              <w:bidi w:val="0"/>
              <w:spacing w:before="0" w:after="283"/>
              <w:jc w:val="left"/>
              <w:rPr/>
            </w:pPr>
            <w:r>
              <w:rPr/>
              <w:t>Amortization of debt discount and debt issuance costs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692,710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41" w:name="xdx_404_ecustom--ChangeInFairValueOfComm"/>
            <w:bookmarkEnd w:id="241"/>
          </w:p>
        </w:tc>
      </w:tr>
      <w:tr>
        <w:trPr/>
        <w:tc>
          <w:tcPr>
            <w:tcW w:w="6536" w:type="dxa"/>
            <w:tcBorders/>
            <w:shd w:fill="FFFFFF" w:val="clear"/>
            <w:vAlign w:val="center"/>
          </w:tcPr>
          <w:p>
            <w:pPr>
              <w:pStyle w:val="TableContents"/>
              <w:bidi w:val="0"/>
              <w:spacing w:before="0" w:after="283"/>
              <w:jc w:val="left"/>
              <w:rPr/>
            </w:pPr>
            <w:r>
              <w:rPr/>
              <w:t>Change in fair value of common stock make-whole obligation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53,629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215,443</w:t>
            </w:r>
          </w:p>
        </w:tc>
        <w:tc>
          <w:tcPr>
            <w:tcW w:w="112" w:type="dxa"/>
            <w:tcBorders/>
            <w:shd w:fill="FFFFFF" w:val="clear"/>
            <w:vAlign w:val="center"/>
          </w:tcPr>
          <w:p>
            <w:pPr>
              <w:pStyle w:val="TableContents"/>
              <w:bidi w:val="0"/>
              <w:spacing w:before="0" w:after="283"/>
              <w:jc w:val="left"/>
              <w:rPr/>
            </w:pPr>
            <w:r>
              <w:rPr/>
              <w:t> </w:t>
            </w:r>
            <w:bookmarkStart w:id="242" w:name="xdx_401_ecustom--LossOnSaleOfInvestments"/>
            <w:bookmarkEnd w:id="242"/>
          </w:p>
        </w:tc>
      </w:tr>
      <w:tr>
        <w:trPr/>
        <w:tc>
          <w:tcPr>
            <w:tcW w:w="6536" w:type="dxa"/>
            <w:tcBorders/>
            <w:shd w:fill="CCEEFF" w:val="clear"/>
            <w:vAlign w:val="center"/>
          </w:tcPr>
          <w:p>
            <w:pPr>
              <w:pStyle w:val="TableContents"/>
              <w:bidi w:val="0"/>
              <w:spacing w:before="0" w:after="283"/>
              <w:jc w:val="left"/>
              <w:rPr/>
            </w:pPr>
            <w:r>
              <w:rPr/>
              <w:t>Loss on sale of investments in equity securities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95,178</w:t>
            </w:r>
          </w:p>
        </w:tc>
        <w:tc>
          <w:tcPr>
            <w:tcW w:w="112" w:type="dxa"/>
            <w:tcBorders/>
            <w:shd w:fill="CCEEFF" w:val="clear"/>
            <w:vAlign w:val="center"/>
          </w:tcPr>
          <w:p>
            <w:pPr>
              <w:pStyle w:val="TableContents"/>
              <w:bidi w:val="0"/>
              <w:spacing w:before="0" w:after="283"/>
              <w:jc w:val="left"/>
              <w:rPr/>
            </w:pPr>
            <w:r>
              <w:rPr/>
              <w:t> </w:t>
            </w:r>
            <w:bookmarkStart w:id="243" w:name="xdx_40D_ecustom--ChangeInFairValueOfInve"/>
            <w:bookmarkEnd w:id="243"/>
          </w:p>
        </w:tc>
      </w:tr>
      <w:tr>
        <w:trPr/>
        <w:tc>
          <w:tcPr>
            <w:tcW w:w="6536" w:type="dxa"/>
            <w:tcBorders/>
            <w:shd w:fill="FFFFFF" w:val="clear"/>
            <w:vAlign w:val="center"/>
          </w:tcPr>
          <w:p>
            <w:pPr>
              <w:pStyle w:val="TableContents"/>
              <w:bidi w:val="0"/>
              <w:spacing w:before="0" w:after="283"/>
              <w:jc w:val="left"/>
              <w:rPr/>
            </w:pPr>
            <w:r>
              <w:rPr/>
              <w:t>Change in fair value of investment in equity securities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8,572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728,134</w:t>
            </w:r>
          </w:p>
        </w:tc>
        <w:tc>
          <w:tcPr>
            <w:tcW w:w="112" w:type="dxa"/>
            <w:tcBorders/>
            <w:shd w:fill="FFFFFF" w:val="clear"/>
            <w:vAlign w:val="center"/>
          </w:tcPr>
          <w:p>
            <w:pPr>
              <w:pStyle w:val="TableContents"/>
              <w:bidi w:val="0"/>
              <w:spacing w:before="0" w:after="283"/>
              <w:jc w:val="left"/>
              <w:rPr/>
            </w:pPr>
            <w:r>
              <w:rPr/>
              <w:t> </w:t>
            </w:r>
            <w:bookmarkStart w:id="244" w:name="xdx_409_eus-gaap--GainsLossesOnExtinguis"/>
            <w:bookmarkEnd w:id="244"/>
          </w:p>
        </w:tc>
      </w:tr>
      <w:tr>
        <w:trPr/>
        <w:tc>
          <w:tcPr>
            <w:tcW w:w="6536" w:type="dxa"/>
            <w:tcBorders/>
            <w:shd w:fill="CCEEFF" w:val="clear"/>
            <w:vAlign w:val="center"/>
          </w:tcPr>
          <w:p>
            <w:pPr>
              <w:pStyle w:val="TableContents"/>
              <w:bidi w:val="0"/>
              <w:spacing w:before="0" w:after="283"/>
              <w:jc w:val="left"/>
              <w:rPr/>
            </w:pPr>
            <w:r>
              <w:rPr/>
              <w:t>Loss on extinguishment of liability, net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122,409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45" w:name="xdx_40D_ecustom--LossOnWriteoffOfPromiss"/>
            <w:bookmarkEnd w:id="245"/>
          </w:p>
        </w:tc>
      </w:tr>
      <w:tr>
        <w:trPr/>
        <w:tc>
          <w:tcPr>
            <w:tcW w:w="6536" w:type="dxa"/>
            <w:tcBorders/>
            <w:shd w:fill="FFFFFF" w:val="clear"/>
            <w:vAlign w:val="center"/>
          </w:tcPr>
          <w:p>
            <w:pPr>
              <w:pStyle w:val="TableContents"/>
              <w:bidi w:val="0"/>
              <w:spacing w:before="0" w:after="283"/>
              <w:jc w:val="left"/>
              <w:rPr/>
            </w:pPr>
            <w:r>
              <w:rPr/>
              <w:t>Loss on write-off of promissory note and deposit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232,481</w:t>
            </w:r>
          </w:p>
        </w:tc>
        <w:tc>
          <w:tcPr>
            <w:tcW w:w="112" w:type="dxa"/>
            <w:tcBorders/>
            <w:shd w:fill="FFFFFF" w:val="clear"/>
            <w:vAlign w:val="center"/>
          </w:tcPr>
          <w:p>
            <w:pPr>
              <w:pStyle w:val="TableContents"/>
              <w:bidi w:val="0"/>
              <w:spacing w:before="0" w:after="283"/>
              <w:jc w:val="left"/>
              <w:rPr/>
            </w:pPr>
            <w:r>
              <w:rPr/>
              <w:t> </w:t>
            </w:r>
            <w:bookmarkStart w:id="246" w:name="xdx_408_ecustom--WriteOffOfDeferredTrans"/>
            <w:bookmarkEnd w:id="246"/>
          </w:p>
        </w:tc>
      </w:tr>
      <w:tr>
        <w:trPr/>
        <w:tc>
          <w:tcPr>
            <w:tcW w:w="6536" w:type="dxa"/>
            <w:tcBorders/>
            <w:shd w:fill="CCEEFF" w:val="clear"/>
            <w:vAlign w:val="center"/>
          </w:tcPr>
          <w:p>
            <w:pPr>
              <w:pStyle w:val="TableContents"/>
              <w:bidi w:val="0"/>
              <w:spacing w:before="0" w:after="283"/>
              <w:jc w:val="left"/>
              <w:rPr/>
            </w:pPr>
            <w:r>
              <w:rPr/>
              <w:t>Deferred transaction cost expensed</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30,000</w:t>
            </w:r>
          </w:p>
        </w:tc>
        <w:tc>
          <w:tcPr>
            <w:tcW w:w="112" w:type="dxa"/>
            <w:tcBorders/>
            <w:shd w:fill="CCEEFF" w:val="clear"/>
            <w:vAlign w:val="center"/>
          </w:tcPr>
          <w:p>
            <w:pPr>
              <w:pStyle w:val="TableContents"/>
              <w:bidi w:val="0"/>
              <w:spacing w:before="0" w:after="283"/>
              <w:jc w:val="left"/>
              <w:rPr/>
            </w:pPr>
            <w:r>
              <w:rPr/>
              <w:t> </w:t>
            </w:r>
            <w:bookmarkStart w:id="247" w:name="xdx_401_eus-gaap--FairValueAdjustmentOfW"/>
            <w:bookmarkEnd w:id="247"/>
          </w:p>
        </w:tc>
      </w:tr>
      <w:tr>
        <w:trPr/>
        <w:tc>
          <w:tcPr>
            <w:tcW w:w="6536"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115,782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(2,171,692</w:t>
            </w:r>
          </w:p>
        </w:tc>
        <w:tc>
          <w:tcPr>
            <w:tcW w:w="112" w:type="dxa"/>
            <w:tcBorders/>
            <w:shd w:fill="FFFFFF" w:val="clear"/>
            <w:vAlign w:val="center"/>
          </w:tcPr>
          <w:p>
            <w:pPr>
              <w:pStyle w:val="TableContents"/>
              <w:bidi w:val="0"/>
              <w:spacing w:before="0" w:after="283"/>
              <w:jc w:val="left"/>
              <w:rPr/>
            </w:pPr>
            <w:r>
              <w:rPr/>
              <w:t>)</w:t>
            </w:r>
            <w:bookmarkStart w:id="248" w:name="xdx_403_ecustom--ChangeInFairValueOfSpon"/>
            <w:bookmarkEnd w:id="248"/>
          </w:p>
        </w:tc>
      </w:tr>
      <w:tr>
        <w:trPr/>
        <w:tc>
          <w:tcPr>
            <w:tcW w:w="6536" w:type="dxa"/>
            <w:tcBorders/>
            <w:shd w:fill="CCEEFF" w:val="clear"/>
            <w:vAlign w:val="center"/>
          </w:tcPr>
          <w:p>
            <w:pPr>
              <w:pStyle w:val="TableContents"/>
              <w:bidi w:val="0"/>
              <w:spacing w:before="0" w:after="283"/>
              <w:jc w:val="left"/>
              <w:rPr/>
            </w:pPr>
            <w:r>
              <w:rPr/>
              <w:t>Change in fair value of sponsor earnout shares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(528,000</w:t>
            </w:r>
          </w:p>
        </w:tc>
        <w:tc>
          <w:tcPr>
            <w:tcW w:w="112" w:type="dxa"/>
            <w:tcBorders/>
            <w:shd w:fill="CCEEFF" w:val="clear"/>
            <w:vAlign w:val="center"/>
          </w:tcPr>
          <w:p>
            <w:pPr>
              <w:pStyle w:val="TableContents"/>
              <w:bidi w:val="0"/>
              <w:spacing w:before="0" w:after="283"/>
              <w:jc w:val="left"/>
              <w:rPr/>
            </w:pPr>
            <w:r>
              <w:rPr/>
              <w:t>)</w:t>
            </w:r>
            <w:bookmarkStart w:id="249" w:name="xdx_401_eus-gaap--DepreciationDepletionA"/>
            <w:bookmarkEnd w:id="249"/>
          </w:p>
        </w:tc>
      </w:tr>
      <w:tr>
        <w:trPr/>
        <w:tc>
          <w:tcPr>
            <w:tcW w:w="6536" w:type="dxa"/>
            <w:tcBorders/>
            <w:shd w:fill="FFFFFF" w:val="clear"/>
            <w:vAlign w:val="center"/>
          </w:tcPr>
          <w:p>
            <w:pPr>
              <w:pStyle w:val="TableContents"/>
              <w:bidi w:val="0"/>
              <w:spacing w:before="0" w:after="283"/>
              <w:jc w:val="left"/>
              <w:rPr/>
            </w:pPr>
            <w:r>
              <w:rPr/>
              <w:t>Depreciation expense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2,566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1,536</w:t>
            </w:r>
          </w:p>
        </w:tc>
        <w:tc>
          <w:tcPr>
            <w:tcW w:w="112" w:type="dxa"/>
            <w:tcBorders/>
            <w:shd w:fill="FFFFFF" w:val="clear"/>
            <w:vAlign w:val="center"/>
          </w:tcPr>
          <w:p>
            <w:pPr>
              <w:pStyle w:val="TableContents"/>
              <w:bidi w:val="0"/>
              <w:spacing w:before="0" w:after="283"/>
              <w:jc w:val="left"/>
              <w:rPr/>
            </w:pPr>
            <w:r>
              <w:rPr/>
              <w:t> </w:t>
            </w:r>
            <w:bookmarkStart w:id="250" w:name="xdx_405_eus-gaap--OperatingLeaseRightOfU"/>
            <w:bookmarkEnd w:id="250"/>
          </w:p>
        </w:tc>
      </w:tr>
      <w:tr>
        <w:trPr/>
        <w:tc>
          <w:tcPr>
            <w:tcW w:w="6536" w:type="dxa"/>
            <w:tcBorders/>
            <w:shd w:fill="CCEEFF" w:val="clear"/>
            <w:vAlign w:val="center"/>
          </w:tcPr>
          <w:p>
            <w:pPr>
              <w:pStyle w:val="TableContents"/>
              <w:bidi w:val="0"/>
              <w:spacing w:before="0" w:after="283"/>
              <w:jc w:val="left"/>
              <w:rPr/>
            </w:pPr>
            <w:r>
              <w:rPr/>
              <w:t>Amortization of operating lease right-of-use asset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15,810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51" w:name="xdx_406_eus-gaap--IncreaseDecreaseInOper"/>
            <w:bookmarkEnd w:id="251"/>
          </w:p>
        </w:tc>
      </w:tr>
      <w:tr>
        <w:trPr/>
        <w:tc>
          <w:tcPr>
            <w:tcW w:w="6536"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52" w:name="xdx_40E_eus-gaap--IncreaseDecreaseInPrep"/>
            <w:bookmarkEnd w:id="252"/>
          </w:p>
        </w:tc>
      </w:tr>
      <w:tr>
        <w:trPr/>
        <w:tc>
          <w:tcPr>
            <w:tcW w:w="6536"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12,701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239,723</w:t>
            </w:r>
          </w:p>
        </w:tc>
        <w:tc>
          <w:tcPr>
            <w:tcW w:w="112" w:type="dxa"/>
            <w:tcBorders/>
            <w:shd w:fill="CCEEFF" w:val="clear"/>
            <w:vAlign w:val="center"/>
          </w:tcPr>
          <w:p>
            <w:pPr>
              <w:pStyle w:val="TableContents"/>
              <w:bidi w:val="0"/>
              <w:spacing w:before="0" w:after="283"/>
              <w:jc w:val="left"/>
              <w:rPr/>
            </w:pPr>
            <w:r>
              <w:rPr/>
              <w:t> </w:t>
            </w:r>
            <w:bookmarkStart w:id="253" w:name="xdx_40D_eus-gaap--IncreaseDecreaseInAcco"/>
            <w:bookmarkEnd w:id="253"/>
          </w:p>
        </w:tc>
      </w:tr>
      <w:tr>
        <w:trPr/>
        <w:tc>
          <w:tcPr>
            <w:tcW w:w="6536"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487,156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128,902</w:t>
            </w:r>
          </w:p>
        </w:tc>
        <w:tc>
          <w:tcPr>
            <w:tcW w:w="112" w:type="dxa"/>
            <w:tcBorders/>
            <w:shd w:fill="FFFFFF" w:val="clear"/>
            <w:vAlign w:val="center"/>
          </w:tcPr>
          <w:p>
            <w:pPr>
              <w:pStyle w:val="TableContents"/>
              <w:bidi w:val="0"/>
              <w:spacing w:before="0" w:after="283"/>
              <w:jc w:val="left"/>
              <w:rPr/>
            </w:pPr>
            <w:r>
              <w:rPr/>
              <w:t> </w:t>
            </w:r>
            <w:bookmarkStart w:id="254" w:name="xdx_405_eus-gaap--IncreaseDecreaseInAccr"/>
            <w:bookmarkEnd w:id="254"/>
          </w:p>
        </w:tc>
      </w:tr>
      <w:tr>
        <w:trPr/>
        <w:tc>
          <w:tcPr>
            <w:tcW w:w="6536" w:type="dxa"/>
            <w:tcBorders/>
            <w:shd w:fill="CCEEFF" w:val="clear"/>
            <w:vAlign w:val="center"/>
          </w:tcPr>
          <w:p>
            <w:pPr>
              <w:pStyle w:val="TableContents"/>
              <w:bidi w:val="0"/>
              <w:spacing w:before="0" w:after="283"/>
              <w:jc w:val="left"/>
              <w:rPr/>
            </w:pPr>
            <w:r>
              <w:rPr/>
              <w:t>Accrued liabilities and other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682,807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(328,696</w:t>
            </w:r>
          </w:p>
        </w:tc>
        <w:tc>
          <w:tcPr>
            <w:tcW w:w="112" w:type="dxa"/>
            <w:tcBorders/>
            <w:shd w:fill="CCEEFF" w:val="clear"/>
            <w:vAlign w:val="center"/>
          </w:tcPr>
          <w:p>
            <w:pPr>
              <w:pStyle w:val="TableContents"/>
              <w:bidi w:val="0"/>
              <w:spacing w:before="0" w:after="283"/>
              <w:jc w:val="left"/>
              <w:rPr/>
            </w:pPr>
            <w:r>
              <w:rPr/>
              <w:t>)</w:t>
            </w:r>
            <w:bookmarkStart w:id="255" w:name="xdx_404_ecustom--IncreaseDecreaseInOpera"/>
            <w:bookmarkEnd w:id="255"/>
          </w:p>
        </w:tc>
      </w:tr>
      <w:tr>
        <w:trPr/>
        <w:tc>
          <w:tcPr>
            <w:tcW w:w="6536" w:type="dxa"/>
            <w:tcBorders/>
            <w:shd w:fill="FFFFFF" w:val="clear"/>
            <w:vAlign w:val="center"/>
          </w:tcPr>
          <w:p>
            <w:pPr>
              <w:pStyle w:val="TableContents"/>
              <w:bidi w:val="0"/>
              <w:spacing w:before="0" w:after="283"/>
              <w:jc w:val="left"/>
              <w:rPr/>
            </w:pPr>
            <w:r>
              <w:rPr/>
              <w:t>Operating right of use asset and liability</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0" w:type="dxa"/>
            <w:tcBorders>
              <w:bottom w:val="single" w:sz="8" w:space="0" w:color="000000"/>
            </w:tcBorders>
            <w:shd w:fill="FFFFFF" w:val="clear"/>
            <w:tcMar>
              <w:bottom w:w="28" w:type="dxa"/>
            </w:tcMar>
            <w:vAlign w:val="center"/>
          </w:tcPr>
          <w:p>
            <w:pPr>
              <w:pStyle w:val="TableContents"/>
              <w:bidi w:val="0"/>
              <w:spacing w:before="0" w:after="283"/>
              <w:jc w:val="right"/>
              <w:rPr/>
            </w:pPr>
            <w:r>
              <w:rPr/>
              <w:t>(15,810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56" w:name="xdx_40B_eus-gaap--NetCashProvidedByUsedI"/>
            <w:bookmarkEnd w:id="256"/>
          </w:p>
        </w:tc>
      </w:tr>
      <w:tr>
        <w:trPr/>
        <w:tc>
          <w:tcPr>
            <w:tcW w:w="6536"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4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(4,002,652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4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(4,490,450</w:t>
            </w:r>
          </w:p>
        </w:tc>
        <w:tc>
          <w:tcPr>
            <w:tcW w:w="112" w:type="dxa"/>
            <w:tcBorders/>
            <w:shd w:fill="CCEEFF" w:val="clear"/>
            <w:vAlign w:val="center"/>
          </w:tcPr>
          <w:p>
            <w:pPr>
              <w:pStyle w:val="TableContents"/>
              <w:bidi w:val="0"/>
              <w:spacing w:before="0" w:after="283"/>
              <w:jc w:val="left"/>
              <w:rPr>
                <w:b/>
              </w:rPr>
            </w:pPr>
            <w:r>
              <w:rPr>
                <w:b/>
              </w:rPr>
              <w:t>)</w:t>
            </w:r>
            <w:bookmarkStart w:id="257" w:name="xdx_40A_eus-gaap--NetCashProvidedByUsedI"/>
            <w:bookmarkEnd w:id="257"/>
          </w:p>
        </w:tc>
      </w:tr>
      <w:tr>
        <w:trPr/>
        <w:tc>
          <w:tcPr>
            <w:tcW w:w="6536"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58" w:name="xdx_400_ecustom--PaymentsForCapitalProje"/>
            <w:bookmarkEnd w:id="258"/>
          </w:p>
        </w:tc>
      </w:tr>
      <w:tr>
        <w:trPr/>
        <w:tc>
          <w:tcPr>
            <w:tcW w:w="6536" w:type="dxa"/>
            <w:tcBorders/>
            <w:shd w:fill="CCEEFF" w:val="clear"/>
            <w:vAlign w:val="center"/>
          </w:tcPr>
          <w:p>
            <w:pPr>
              <w:pStyle w:val="TableContents"/>
              <w:bidi w:val="0"/>
              <w:spacing w:before="0" w:after="283"/>
              <w:jc w:val="left"/>
              <w:rPr/>
            </w:pPr>
            <w:r>
              <w:rPr/>
              <w:t>Capital project costs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(175,644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(2,278,760</w:t>
            </w:r>
          </w:p>
        </w:tc>
        <w:tc>
          <w:tcPr>
            <w:tcW w:w="112" w:type="dxa"/>
            <w:tcBorders/>
            <w:shd w:fill="CCEEFF" w:val="clear"/>
            <w:vAlign w:val="center"/>
          </w:tcPr>
          <w:p>
            <w:pPr>
              <w:pStyle w:val="TableContents"/>
              <w:bidi w:val="0"/>
              <w:spacing w:before="0" w:after="283"/>
              <w:jc w:val="left"/>
              <w:rPr/>
            </w:pPr>
            <w:r>
              <w:rPr/>
              <w:t>)</w:t>
            </w:r>
            <w:bookmarkStart w:id="259" w:name="xdx_40B_ecustom--PaymentToAcquireLand_i0"/>
            <w:bookmarkEnd w:id="259"/>
          </w:p>
        </w:tc>
      </w:tr>
      <w:tr>
        <w:trPr/>
        <w:tc>
          <w:tcPr>
            <w:tcW w:w="6536" w:type="dxa"/>
            <w:tcBorders/>
            <w:shd w:fill="FFFFFF" w:val="clear"/>
            <w:vAlign w:val="center"/>
          </w:tcPr>
          <w:p>
            <w:pPr>
              <w:pStyle w:val="TableContents"/>
              <w:bidi w:val="0"/>
              <w:spacing w:before="0" w:after="283"/>
              <w:jc w:val="left"/>
              <w:rPr/>
            </w:pPr>
            <w:r>
              <w:rPr/>
              <w:t>Land acquisition cost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(16,619</w:t>
            </w:r>
          </w:p>
        </w:tc>
        <w:tc>
          <w:tcPr>
            <w:tcW w:w="112" w:type="dxa"/>
            <w:tcBorders/>
            <w:shd w:fill="FFFFFF" w:val="clear"/>
            <w:vAlign w:val="center"/>
          </w:tcPr>
          <w:p>
            <w:pPr>
              <w:pStyle w:val="TableContents"/>
              <w:bidi w:val="0"/>
              <w:spacing w:before="0" w:after="283"/>
              <w:jc w:val="left"/>
              <w:rPr/>
            </w:pPr>
            <w:r>
              <w:rPr/>
              <w:t>)</w:t>
            </w:r>
            <w:bookmarkStart w:id="260" w:name="xdx_403_eus-gaap--ProceedsFromSaleOfEqui"/>
            <w:bookmarkEnd w:id="260"/>
          </w:p>
        </w:tc>
      </w:tr>
      <w:tr>
        <w:trPr/>
        <w:tc>
          <w:tcPr>
            <w:tcW w:w="6536" w:type="dxa"/>
            <w:tcBorders/>
            <w:shd w:fill="CCEEFF" w:val="clear"/>
            <w:vAlign w:val="center"/>
          </w:tcPr>
          <w:p>
            <w:pPr>
              <w:pStyle w:val="TableContents"/>
              <w:bidi w:val="0"/>
              <w:spacing w:before="0" w:after="283"/>
              <w:jc w:val="left"/>
              <w:rPr/>
            </w:pPr>
            <w:r>
              <w:rPr/>
              <w:t>Proceeds from sale of investment in equity securities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78,311</w:t>
            </w:r>
          </w:p>
        </w:tc>
        <w:tc>
          <w:tcPr>
            <w:tcW w:w="112" w:type="dxa"/>
            <w:tcBorders/>
            <w:shd w:fill="CCEEFF" w:val="clear"/>
            <w:vAlign w:val="center"/>
          </w:tcPr>
          <w:p>
            <w:pPr>
              <w:pStyle w:val="TableContents"/>
              <w:bidi w:val="0"/>
              <w:spacing w:before="0" w:after="283"/>
              <w:jc w:val="left"/>
              <w:rPr/>
            </w:pPr>
            <w:r>
              <w:rPr/>
              <w:t> </w:t>
            </w:r>
            <w:bookmarkStart w:id="261" w:name="xdx_40A_eus-gaap--PaymentsToAcquirePrope"/>
            <w:bookmarkEnd w:id="261"/>
          </w:p>
        </w:tc>
      </w:tr>
      <w:tr>
        <w:trPr/>
        <w:tc>
          <w:tcPr>
            <w:tcW w:w="6536" w:type="dxa"/>
            <w:tcBorders/>
            <w:shd w:fill="FFFFFF" w:val="clear"/>
            <w:vAlign w:val="center"/>
          </w:tcPr>
          <w:p>
            <w:pPr>
              <w:pStyle w:val="TableContents"/>
              <w:bidi w:val="0"/>
              <w:spacing w:before="0" w:after="283"/>
              <w:jc w:val="left"/>
              <w:rPr/>
            </w:pPr>
            <w:r>
              <w:rPr/>
              <w:t>Purchase of computer and equipment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0" w:type="dxa"/>
            <w:tcBorders>
              <w:bottom w:val="single" w:sz="8" w:space="0" w:color="000000"/>
            </w:tcBorders>
            <w:shd w:fill="FFFFFF" w:val="clear"/>
            <w:tcMar>
              <w:bottom w:w="28" w:type="dxa"/>
            </w:tcMar>
            <w:vAlign w:val="center"/>
          </w:tcPr>
          <w:p>
            <w:pPr>
              <w:pStyle w:val="TableContents"/>
              <w:bidi w:val="0"/>
              <w:spacing w:before="0" w:after="283"/>
              <w:jc w:val="right"/>
              <w:rPr/>
            </w:pPr>
            <w:r>
              <w:rPr/>
              <w:t>(18,668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62" w:name="xdx_406_eus-gaap--NetCashProvidedByUsedI"/>
            <w:bookmarkEnd w:id="262"/>
          </w:p>
        </w:tc>
      </w:tr>
      <w:tr>
        <w:trPr/>
        <w:tc>
          <w:tcPr>
            <w:tcW w:w="6536"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4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(194,312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4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(2,217,068</w:t>
            </w:r>
          </w:p>
        </w:tc>
        <w:tc>
          <w:tcPr>
            <w:tcW w:w="112" w:type="dxa"/>
            <w:tcBorders/>
            <w:shd w:fill="CCEEFF" w:val="clear"/>
            <w:vAlign w:val="center"/>
          </w:tcPr>
          <w:p>
            <w:pPr>
              <w:pStyle w:val="TableContents"/>
              <w:bidi w:val="0"/>
              <w:spacing w:before="0" w:after="283"/>
              <w:jc w:val="left"/>
              <w:rPr>
                <w:b/>
              </w:rPr>
            </w:pPr>
            <w:r>
              <w:rPr>
                <w:b/>
              </w:rPr>
              <w:t>)</w:t>
            </w:r>
            <w:bookmarkStart w:id="263" w:name="xdx_401_eus-gaap--NetCashProvidedByUsedI"/>
            <w:bookmarkEnd w:id="263"/>
          </w:p>
        </w:tc>
      </w:tr>
      <w:tr>
        <w:trPr/>
        <w:tc>
          <w:tcPr>
            <w:tcW w:w="6536"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64" w:name="xdx_405_eus-gaap--ProceedsFromIssuanceOf"/>
            <w:bookmarkEnd w:id="264"/>
          </w:p>
        </w:tc>
      </w:tr>
      <w:tr>
        <w:trPr/>
        <w:tc>
          <w:tcPr>
            <w:tcW w:w="6536" w:type="dxa"/>
            <w:tcBorders/>
            <w:shd w:fill="CCEEFF" w:val="clear"/>
            <w:vAlign w:val="center"/>
          </w:tcPr>
          <w:p>
            <w:pPr>
              <w:pStyle w:val="TableContents"/>
              <w:bidi w:val="0"/>
              <w:spacing w:before="0" w:after="283"/>
              <w:jc w:val="left"/>
              <w:rPr/>
            </w:pPr>
            <w:r>
              <w:rPr/>
              <w:t>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1,512,480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122,551</w:t>
            </w:r>
          </w:p>
        </w:tc>
        <w:tc>
          <w:tcPr>
            <w:tcW w:w="112" w:type="dxa"/>
            <w:tcBorders/>
            <w:shd w:fill="CCEEFF" w:val="clear"/>
            <w:vAlign w:val="center"/>
          </w:tcPr>
          <w:p>
            <w:pPr>
              <w:pStyle w:val="TableContents"/>
              <w:bidi w:val="0"/>
              <w:spacing w:before="0" w:after="283"/>
              <w:jc w:val="left"/>
              <w:rPr/>
            </w:pPr>
            <w:r>
              <w:rPr/>
              <w:t> </w:t>
            </w:r>
            <w:bookmarkStart w:id="265" w:name="xdx_405_eus-gaap--ProceedsFromRelatedPar"/>
            <w:bookmarkEnd w:id="265"/>
          </w:p>
        </w:tc>
      </w:tr>
      <w:tr>
        <w:trPr/>
        <w:tc>
          <w:tcPr>
            <w:tcW w:w="6536" w:type="dxa"/>
            <w:tcBorders/>
            <w:shd w:fill="FFFFFF" w:val="clear"/>
            <w:vAlign w:val="center"/>
          </w:tcPr>
          <w:p>
            <w:pPr>
              <w:pStyle w:val="TableContents"/>
              <w:bidi w:val="0"/>
              <w:spacing w:before="0" w:after="283"/>
              <w:jc w:val="left"/>
              <w:rPr/>
            </w:pPr>
            <w:r>
              <w:rPr/>
              <w:t>Proceeds from issuance of notes payable to related parties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250,000</w:t>
            </w:r>
          </w:p>
        </w:tc>
        <w:tc>
          <w:tcPr>
            <w:tcW w:w="112" w:type="dxa"/>
            <w:tcBorders/>
            <w:shd w:fill="FFFFFF" w:val="clear"/>
            <w:vAlign w:val="center"/>
          </w:tcPr>
          <w:p>
            <w:pPr>
              <w:pStyle w:val="TableContents"/>
              <w:bidi w:val="0"/>
              <w:spacing w:before="0" w:after="283"/>
              <w:jc w:val="left"/>
              <w:rPr/>
            </w:pPr>
            <w:r>
              <w:rPr/>
              <w:t> </w:t>
            </w:r>
            <w:bookmarkStart w:id="266" w:name="xdx_40D_eus-gaap--RepaymentsOfRelatedPar"/>
            <w:bookmarkEnd w:id="266"/>
          </w:p>
        </w:tc>
      </w:tr>
      <w:tr>
        <w:trPr/>
        <w:tc>
          <w:tcPr>
            <w:tcW w:w="6536" w:type="dxa"/>
            <w:tcBorders/>
            <w:shd w:fill="CCEEFF" w:val="clear"/>
            <w:vAlign w:val="center"/>
          </w:tcPr>
          <w:p>
            <w:pPr>
              <w:pStyle w:val="TableContents"/>
              <w:bidi w:val="0"/>
              <w:spacing w:before="0" w:after="283"/>
              <w:jc w:val="left"/>
              <w:rPr/>
            </w:pPr>
            <w:r>
              <w:rPr/>
              <w:t>Repayment of notes payable to related parties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(250,000</w:t>
            </w:r>
          </w:p>
        </w:tc>
        <w:tc>
          <w:tcPr>
            <w:tcW w:w="112" w:type="dxa"/>
            <w:tcBorders/>
            <w:shd w:fill="CCEEFF" w:val="clear"/>
            <w:vAlign w:val="center"/>
          </w:tcPr>
          <w:p>
            <w:pPr>
              <w:pStyle w:val="TableContents"/>
              <w:bidi w:val="0"/>
              <w:spacing w:before="0" w:after="283"/>
              <w:jc w:val="left"/>
              <w:rPr/>
            </w:pPr>
            <w:r>
              <w:rPr/>
              <w:t>)</w:t>
            </w:r>
            <w:bookmarkStart w:id="267" w:name="xdx_405_ecustom--RepaymentOfShorttermLoa"/>
            <w:bookmarkEnd w:id="267"/>
          </w:p>
        </w:tc>
      </w:tr>
      <w:tr>
        <w:trPr/>
        <w:tc>
          <w:tcPr>
            <w:tcW w:w="6536" w:type="dxa"/>
            <w:tcBorders/>
            <w:shd w:fill="FFFFFF" w:val="clear"/>
            <w:vAlign w:val="center"/>
          </w:tcPr>
          <w:p>
            <w:pPr>
              <w:pStyle w:val="TableContents"/>
              <w:bidi w:val="0"/>
              <w:spacing w:before="0" w:after="283"/>
              <w:jc w:val="left"/>
              <w:rPr/>
            </w:pPr>
            <w:r>
              <w:rPr/>
              <w:t>Repayment of short-term loan from related parties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(2,000,000</w:t>
            </w:r>
          </w:p>
        </w:tc>
        <w:tc>
          <w:tcPr>
            <w:tcW w:w="112" w:type="dxa"/>
            <w:tcBorders/>
            <w:shd w:fill="FFFFFF" w:val="clear"/>
            <w:vAlign w:val="center"/>
          </w:tcPr>
          <w:p>
            <w:pPr>
              <w:pStyle w:val="TableContents"/>
              <w:bidi w:val="0"/>
              <w:spacing w:before="0" w:after="283"/>
              <w:jc w:val="left"/>
              <w:rPr/>
            </w:pPr>
            <w:r>
              <w:rPr/>
              <w:t>)</w:t>
            </w:r>
            <w:bookmarkStart w:id="268" w:name="xdx_40A_eus-gaap--RepaymentsOfShortTermD"/>
            <w:bookmarkEnd w:id="268"/>
          </w:p>
        </w:tc>
      </w:tr>
      <w:tr>
        <w:trPr/>
        <w:tc>
          <w:tcPr>
            <w:tcW w:w="6536" w:type="dxa"/>
            <w:tcBorders/>
            <w:shd w:fill="CCEEFF" w:val="clear"/>
            <w:vAlign w:val="center"/>
          </w:tcPr>
          <w:p>
            <w:pPr>
              <w:pStyle w:val="TableContents"/>
              <w:bidi w:val="0"/>
              <w:spacing w:before="0" w:after="283"/>
              <w:jc w:val="left"/>
              <w:rPr/>
            </w:pPr>
            <w:r>
              <w:rPr/>
              <w:t>Repayment of short-term loan</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(205,403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(1,808,552</w:t>
            </w:r>
          </w:p>
        </w:tc>
        <w:tc>
          <w:tcPr>
            <w:tcW w:w="112" w:type="dxa"/>
            <w:tcBorders/>
            <w:shd w:fill="CCEEFF" w:val="clear"/>
            <w:vAlign w:val="center"/>
          </w:tcPr>
          <w:p>
            <w:pPr>
              <w:pStyle w:val="TableContents"/>
              <w:bidi w:val="0"/>
              <w:spacing w:before="0" w:after="283"/>
              <w:jc w:val="left"/>
              <w:rPr/>
            </w:pPr>
            <w:r>
              <w:rPr/>
              <w:t>)</w:t>
            </w:r>
            <w:bookmarkStart w:id="269" w:name="xdx_40D_ecustom--ProceedsFromAdvanceFrom"/>
            <w:bookmarkEnd w:id="269"/>
          </w:p>
        </w:tc>
      </w:tr>
      <w:tr>
        <w:trPr/>
        <w:tc>
          <w:tcPr>
            <w:tcW w:w="6536" w:type="dxa"/>
            <w:tcBorders/>
            <w:shd w:fill="FFFFFF" w:val="clear"/>
            <w:vAlign w:val="center"/>
          </w:tcPr>
          <w:p>
            <w:pPr>
              <w:pStyle w:val="TableContents"/>
              <w:bidi w:val="0"/>
              <w:spacing w:before="0" w:after="283"/>
              <w:jc w:val="left"/>
              <w:rPr/>
            </w:pPr>
            <w:r>
              <w:rPr/>
              <w:t>Proceeds from advance received from PIPE investors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125,000</w:t>
            </w:r>
          </w:p>
        </w:tc>
        <w:tc>
          <w:tcPr>
            <w:tcW w:w="112" w:type="dxa"/>
            <w:tcBorders/>
            <w:shd w:fill="FFFFFF" w:val="clear"/>
            <w:vAlign w:val="center"/>
          </w:tcPr>
          <w:p>
            <w:pPr>
              <w:pStyle w:val="TableContents"/>
              <w:bidi w:val="0"/>
              <w:spacing w:before="0" w:after="283"/>
              <w:jc w:val="left"/>
              <w:rPr/>
            </w:pPr>
            <w:r>
              <w:rPr/>
              <w:t> </w:t>
            </w:r>
            <w:bookmarkStart w:id="270" w:name="xdx_405_ecustom--DeferredTransactionCost"/>
            <w:bookmarkEnd w:id="270"/>
          </w:p>
        </w:tc>
      </w:tr>
      <w:tr>
        <w:trPr/>
        <w:tc>
          <w:tcPr>
            <w:tcW w:w="6536" w:type="dxa"/>
            <w:tcBorders/>
            <w:shd w:fill="CCEEFF" w:val="clear"/>
            <w:vAlign w:val="center"/>
          </w:tcPr>
          <w:p>
            <w:pPr>
              <w:pStyle w:val="TableContents"/>
              <w:bidi w:val="0"/>
              <w:spacing w:before="0" w:after="283"/>
              <w:jc w:val="left"/>
              <w:rPr/>
            </w:pPr>
            <w:r>
              <w:rPr/>
              <w:t>Deferred transaction costs paid</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(25,000</w:t>
            </w:r>
          </w:p>
        </w:tc>
        <w:tc>
          <w:tcPr>
            <w:tcW w:w="112" w:type="dxa"/>
            <w:tcBorders/>
            <w:shd w:fill="CCEEFF" w:val="clear"/>
            <w:vAlign w:val="center"/>
          </w:tcPr>
          <w:p>
            <w:pPr>
              <w:pStyle w:val="TableContents"/>
              <w:bidi w:val="0"/>
              <w:spacing w:before="0" w:after="283"/>
              <w:jc w:val="left"/>
              <w:rPr/>
            </w:pPr>
            <w:r>
              <w:rPr/>
              <w:t>)</w:t>
            </w:r>
            <w:bookmarkStart w:id="271" w:name="xdx_408_eus-gaap--ProceedsFromIssuanceIn"/>
            <w:bookmarkEnd w:id="271"/>
          </w:p>
        </w:tc>
      </w:tr>
      <w:tr>
        <w:trPr/>
        <w:tc>
          <w:tcPr>
            <w:tcW w:w="6536" w:type="dxa"/>
            <w:tcBorders/>
            <w:shd w:fill="FFFFFF" w:val="clear"/>
            <w:vAlign w:val="center"/>
          </w:tcPr>
          <w:p>
            <w:pPr>
              <w:pStyle w:val="TableContents"/>
              <w:bidi w:val="0"/>
              <w:spacing w:before="0" w:after="283"/>
              <w:jc w:val="left"/>
              <w:rPr/>
            </w:pPr>
            <w:r>
              <w:rPr/>
              <w:t>Proceeds from public offerings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10,270,400</w:t>
            </w:r>
          </w:p>
        </w:tc>
        <w:tc>
          <w:tcPr>
            <w:tcW w:w="112" w:type="dxa"/>
            <w:tcBorders/>
            <w:shd w:fill="FFFFFF" w:val="clear"/>
            <w:vAlign w:val="center"/>
          </w:tcPr>
          <w:p>
            <w:pPr>
              <w:pStyle w:val="TableContents"/>
              <w:bidi w:val="0"/>
              <w:spacing w:before="0" w:after="283"/>
              <w:jc w:val="left"/>
              <w:rPr/>
            </w:pPr>
            <w:r>
              <w:rPr/>
              <w:t> </w:t>
            </w:r>
            <w:bookmarkStart w:id="272" w:name="xdx_40C_ecustom--ProceedsFromWarrantIndu"/>
            <w:bookmarkEnd w:id="272"/>
          </w:p>
        </w:tc>
      </w:tr>
      <w:tr>
        <w:trPr/>
        <w:tc>
          <w:tcPr>
            <w:tcW w:w="6536" w:type="dxa"/>
            <w:tcBorders/>
            <w:shd w:fill="CCEEFF" w:val="clear"/>
            <w:vAlign w:val="center"/>
          </w:tcPr>
          <w:p>
            <w:pPr>
              <w:pStyle w:val="TableContents"/>
              <w:bidi w:val="0"/>
              <w:spacing w:before="0" w:after="283"/>
              <w:jc w:val="left"/>
              <w:rPr/>
            </w:pPr>
            <w:r>
              <w:rPr/>
              <w:t>Proceeds from warrant inducement exercises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2,971,040</w:t>
            </w:r>
          </w:p>
        </w:tc>
        <w:tc>
          <w:tcPr>
            <w:tcW w:w="112" w:type="dxa"/>
            <w:tcBorders/>
            <w:shd w:fill="CCEEFF" w:val="clear"/>
            <w:vAlign w:val="center"/>
          </w:tcPr>
          <w:p>
            <w:pPr>
              <w:pStyle w:val="TableContents"/>
              <w:bidi w:val="0"/>
              <w:spacing w:before="0" w:after="283"/>
              <w:jc w:val="left"/>
              <w:rPr/>
            </w:pPr>
            <w:r>
              <w:rPr/>
              <w:t> </w:t>
            </w:r>
            <w:bookmarkStart w:id="273" w:name="xdx_407_ecustom--TransactionCostsAssocia"/>
            <w:bookmarkEnd w:id="273"/>
          </w:p>
        </w:tc>
      </w:tr>
      <w:tr>
        <w:trPr/>
        <w:tc>
          <w:tcPr>
            <w:tcW w:w="6536" w:type="dxa"/>
            <w:tcBorders/>
            <w:shd w:fill="FFFFFF" w:val="clear"/>
            <w:vAlign w:val="center"/>
          </w:tcPr>
          <w:p>
            <w:pPr>
              <w:pStyle w:val="TableContents"/>
              <w:bidi w:val="0"/>
              <w:spacing w:before="0" w:after="283"/>
              <w:jc w:val="left"/>
              <w:rPr/>
            </w:pPr>
            <w:r>
              <w:rPr/>
              <w:t>Transaction costs associated with public offerings and warrant inducement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(1,252,152</w:t>
            </w:r>
          </w:p>
        </w:tc>
        <w:tc>
          <w:tcPr>
            <w:tcW w:w="112" w:type="dxa"/>
            <w:tcBorders/>
            <w:shd w:fill="FFFFFF" w:val="clear"/>
            <w:vAlign w:val="center"/>
          </w:tcPr>
          <w:p>
            <w:pPr>
              <w:pStyle w:val="TableContents"/>
              <w:bidi w:val="0"/>
              <w:spacing w:before="0" w:after="283"/>
              <w:jc w:val="left"/>
              <w:rPr/>
            </w:pPr>
            <w:r>
              <w:rPr/>
              <w:t>)</w:t>
            </w:r>
            <w:bookmarkStart w:id="274" w:name="xdx_406_ecustom--RepurchaseOfUnvestedSha"/>
            <w:bookmarkEnd w:id="274"/>
          </w:p>
        </w:tc>
      </w:tr>
      <w:tr>
        <w:trPr/>
        <w:tc>
          <w:tcPr>
            <w:tcW w:w="6536" w:type="dxa"/>
            <w:tcBorders/>
            <w:shd w:fill="CCEEFF" w:val="clear"/>
            <w:vAlign w:val="center"/>
          </w:tcPr>
          <w:p>
            <w:pPr>
              <w:pStyle w:val="TableContents"/>
              <w:bidi w:val="0"/>
              <w:spacing w:before="0" w:after="283"/>
              <w:jc w:val="left"/>
              <w:rPr/>
            </w:pPr>
            <w:r>
              <w:rPr/>
              <w:t>Repurchase of unvested shares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8" w:type="dxa"/>
            <w:tcBorders>
              <w:bottom w:val="single" w:sz="8" w:space="0" w:color="000000"/>
            </w:tcBorders>
            <w:shd w:fill="CCEEFF" w:val="clear"/>
            <w:tcMar>
              <w:bottom w:w="28" w:type="dxa"/>
            </w:tcMar>
            <w:vAlign w:val="center"/>
          </w:tcPr>
          <w:p>
            <w:pPr>
              <w:pStyle w:val="TableContents"/>
              <w:bidi w:val="0"/>
              <w:spacing w:before="0" w:after="283"/>
              <w:jc w:val="right"/>
              <w:rPr/>
            </w:pPr>
            <w:r>
              <w:rPr/>
              <w:t>(1,593</w:t>
            </w:r>
          </w:p>
        </w:tc>
        <w:tc>
          <w:tcPr>
            <w:tcW w:w="112" w:type="dxa"/>
            <w:tcBorders/>
            <w:shd w:fill="CCEEFF" w:val="clear"/>
            <w:vAlign w:val="center"/>
          </w:tcPr>
          <w:p>
            <w:pPr>
              <w:pStyle w:val="TableContents"/>
              <w:bidi w:val="0"/>
              <w:spacing w:before="0" w:after="283"/>
              <w:jc w:val="left"/>
              <w:rPr/>
            </w:pPr>
            <w:r>
              <w:rPr/>
              <w:t>)</w:t>
            </w:r>
            <w:bookmarkStart w:id="275" w:name="xdx_405_eus-gaap--NetCashProvidedByUsedI"/>
            <w:bookmarkEnd w:id="275"/>
          </w:p>
        </w:tc>
      </w:tr>
      <w:tr>
        <w:trPr/>
        <w:tc>
          <w:tcPr>
            <w:tcW w:w="6536"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4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1,257,077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4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8,401,694</w:t>
            </w:r>
          </w:p>
        </w:tc>
        <w:tc>
          <w:tcPr>
            <w:tcW w:w="112"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76" w:name="xdx_403_eus-gaap--CashCashEquivalentsRes"/>
            <w:bookmarkEnd w:id="276"/>
          </w:p>
        </w:tc>
      </w:tr>
      <w:tr>
        <w:trPr/>
        <w:tc>
          <w:tcPr>
            <w:tcW w:w="6536" w:type="dxa"/>
            <w:tcBorders/>
            <w:shd w:fill="FFFFFF" w:val="clear"/>
            <w:vAlign w:val="center"/>
          </w:tcPr>
          <w:p>
            <w:pPr>
              <w:pStyle w:val="TableContents"/>
              <w:bidi w:val="0"/>
              <w:spacing w:before="0" w:after="283"/>
              <w:jc w:val="left"/>
              <w:rPr/>
            </w:pPr>
            <w:r>
              <w:rPr/>
              <w:t>Net (decrease)/ increase in cash</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1470" w:type="dxa"/>
            <w:tcBorders/>
            <w:shd w:fill="FFFFFF" w:val="clear"/>
            <w:vAlign w:val="center"/>
          </w:tcPr>
          <w:p>
            <w:pPr>
              <w:pStyle w:val="TableContents"/>
              <w:bidi w:val="0"/>
              <w:spacing w:before="0" w:after="283"/>
              <w:jc w:val="right"/>
              <w:rPr/>
            </w:pPr>
            <w:r>
              <w:rPr/>
              <w:t>(2,939,887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w:t>
            </w:r>
          </w:p>
        </w:tc>
        <w:tc>
          <w:tcPr>
            <w:tcW w:w="1488" w:type="dxa"/>
            <w:tcBorders/>
            <w:shd w:fill="FFFFFF" w:val="clear"/>
            <w:vAlign w:val="center"/>
          </w:tcPr>
          <w:p>
            <w:pPr>
              <w:pStyle w:val="TableContents"/>
              <w:bidi w:val="0"/>
              <w:spacing w:before="0" w:after="283"/>
              <w:jc w:val="right"/>
              <w:rPr/>
            </w:pPr>
            <w:r>
              <w:rPr/>
              <w:t>1,694,176</w:t>
            </w:r>
          </w:p>
        </w:tc>
        <w:tc>
          <w:tcPr>
            <w:tcW w:w="112" w:type="dxa"/>
            <w:tcBorders/>
            <w:shd w:fill="FFFFFF" w:val="clear"/>
            <w:vAlign w:val="center"/>
          </w:tcPr>
          <w:p>
            <w:pPr>
              <w:pStyle w:val="TableContents"/>
              <w:bidi w:val="0"/>
              <w:spacing w:before="0" w:after="283"/>
              <w:jc w:val="left"/>
              <w:rPr/>
            </w:pPr>
            <w:r>
              <w:rPr/>
              <w:t> </w:t>
            </w:r>
            <w:bookmarkStart w:id="277" w:name="xdx_403_eus-gaap--CashCashEquivalentsRes"/>
            <w:bookmarkEnd w:id="277"/>
          </w:p>
        </w:tc>
      </w:tr>
      <w:tr>
        <w:trPr/>
        <w:tc>
          <w:tcPr>
            <w:tcW w:w="6536" w:type="dxa"/>
            <w:tcBorders/>
            <w:shd w:fill="CCEEFF" w:val="clear"/>
            <w:vAlign w:val="center"/>
          </w:tcPr>
          <w:p>
            <w:pPr>
              <w:pStyle w:val="TableContents"/>
              <w:bidi w:val="0"/>
              <w:spacing w:before="0" w:after="283"/>
              <w:jc w:val="left"/>
              <w:rPr/>
            </w:pPr>
            <w:r>
              <w:rPr/>
              <w:t>Cash at the beginning of the period</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0" w:type="dxa"/>
            <w:tcBorders>
              <w:bottom w:val="single" w:sz="8" w:space="0" w:color="000000"/>
            </w:tcBorders>
            <w:shd w:fill="CCEEFF" w:val="clear"/>
            <w:tcMar>
              <w:bottom w:w="28" w:type="dxa"/>
            </w:tcMar>
            <w:vAlign w:val="center"/>
          </w:tcPr>
          <w:p>
            <w:pPr>
              <w:pStyle w:val="TableContents"/>
              <w:bidi w:val="0"/>
              <w:spacing w:before="0" w:after="283"/>
              <w:jc w:val="right"/>
              <w:rPr/>
            </w:pPr>
            <w:r>
              <w:rPr/>
              <w:t>3,480,151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8" w:type="dxa"/>
            <w:tcBorders>
              <w:bottom w:val="single" w:sz="8" w:space="0" w:color="000000"/>
            </w:tcBorders>
            <w:shd w:fill="CCEEFF" w:val="clear"/>
            <w:tcMar>
              <w:bottom w:w="28" w:type="dxa"/>
            </w:tcMar>
            <w:vAlign w:val="center"/>
          </w:tcPr>
          <w:p>
            <w:pPr>
              <w:pStyle w:val="TableContents"/>
              <w:bidi w:val="0"/>
              <w:spacing w:before="0" w:after="283"/>
              <w:jc w:val="right"/>
              <w:rPr/>
            </w:pPr>
            <w:r>
              <w:rPr/>
              <w:t>912,574</w:t>
            </w:r>
          </w:p>
        </w:tc>
        <w:tc>
          <w:tcPr>
            <w:tcW w:w="112" w:type="dxa"/>
            <w:tcBorders/>
            <w:shd w:fill="CCEEFF" w:val="clear"/>
            <w:vAlign w:val="center"/>
          </w:tcPr>
          <w:p>
            <w:pPr>
              <w:pStyle w:val="TableContents"/>
              <w:bidi w:val="0"/>
              <w:spacing w:before="0" w:after="283"/>
              <w:jc w:val="left"/>
              <w:rPr/>
            </w:pPr>
            <w:r>
              <w:rPr/>
              <w:t> </w:t>
            </w:r>
            <w:bookmarkStart w:id="278" w:name="xdx_40F_eus-gaap--CashCashEquivalentsRes"/>
            <w:bookmarkEnd w:id="278"/>
          </w:p>
        </w:tc>
      </w:tr>
      <w:tr>
        <w:trPr/>
        <w:tc>
          <w:tcPr>
            <w:tcW w:w="6536" w:type="dxa"/>
            <w:tcBorders/>
            <w:shd w:fill="FFFFFF" w:val="clear"/>
            <w:vAlign w:val="center"/>
          </w:tcPr>
          <w:p>
            <w:pPr>
              <w:pStyle w:val="TableContents"/>
              <w:bidi w:val="0"/>
              <w:spacing w:before="0" w:after="283"/>
              <w:jc w:val="left"/>
              <w:rPr/>
            </w:pPr>
            <w:r>
              <w:rPr/>
              <w:t>Cash at the end of the period</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7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540,264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2,606,750</w:t>
            </w:r>
          </w:p>
        </w:tc>
        <w:tc>
          <w:tcPr>
            <w:tcW w:w="112"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79" w:name="xdx_40F_eus-gaap--SupplementalCashFlowIn"/>
            <w:bookmarkEnd w:id="279"/>
          </w:p>
        </w:tc>
      </w:tr>
      <w:tr>
        <w:trPr/>
        <w:tc>
          <w:tcPr>
            <w:tcW w:w="6536" w:type="dxa"/>
            <w:tcBorders/>
            <w:shd w:fill="FFFFFF" w:val="clear"/>
            <w:vAlign w:val="center"/>
          </w:tcPr>
          <w:p>
            <w:pPr>
              <w:pStyle w:val="TableContents"/>
              <w:bidi w:val="0"/>
              <w:spacing w:before="0" w:after="283"/>
              <w:jc w:val="left"/>
              <w:rPr/>
            </w:pPr>
            <w:r>
              <w:rPr/>
              <w:t>Supplemental disclosure for cash flow information: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80" w:name="xdx_40D_eus-gaap--InterestPaidNet_i01_zO"/>
            <w:bookmarkEnd w:id="280"/>
          </w:p>
        </w:tc>
      </w:tr>
      <w:tr>
        <w:trPr/>
        <w:tc>
          <w:tcPr>
            <w:tcW w:w="6536" w:type="dxa"/>
            <w:tcBorders/>
            <w:shd w:fill="CCEEFF" w:val="clear"/>
            <w:vAlign w:val="center"/>
          </w:tcPr>
          <w:p>
            <w:pPr>
              <w:pStyle w:val="TableContents"/>
              <w:bidi w:val="0"/>
              <w:spacing w:before="0" w:after="283"/>
              <w:jc w:val="left"/>
              <w:rPr/>
            </w:pPr>
            <w:r>
              <w:rPr/>
              <w:t>Interest paid</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470" w:type="dxa"/>
            <w:tcBorders/>
            <w:shd w:fill="CCEEFF" w:val="clear"/>
            <w:vAlign w:val="center"/>
          </w:tcPr>
          <w:p>
            <w:pPr>
              <w:pStyle w:val="TableContents"/>
              <w:bidi w:val="0"/>
              <w:spacing w:before="0" w:after="283"/>
              <w:jc w:val="right"/>
              <w:rPr/>
            </w:pPr>
            <w:r>
              <w:rPr/>
              <w:t>40,684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488" w:type="dxa"/>
            <w:tcBorders/>
            <w:shd w:fill="CCEEFF" w:val="clear"/>
            <w:vAlign w:val="center"/>
          </w:tcPr>
          <w:p>
            <w:pPr>
              <w:pStyle w:val="TableContents"/>
              <w:bidi w:val="0"/>
              <w:spacing w:before="0" w:after="283"/>
              <w:jc w:val="right"/>
              <w:rPr/>
            </w:pPr>
            <w:r>
              <w:rPr/>
              <w:t>143,565</w:t>
            </w:r>
          </w:p>
        </w:tc>
        <w:tc>
          <w:tcPr>
            <w:tcW w:w="112" w:type="dxa"/>
            <w:tcBorders/>
            <w:shd w:fill="CCEEFF" w:val="clear"/>
            <w:vAlign w:val="center"/>
          </w:tcPr>
          <w:p>
            <w:pPr>
              <w:pStyle w:val="TableContents"/>
              <w:bidi w:val="0"/>
              <w:spacing w:before="0" w:after="283"/>
              <w:jc w:val="left"/>
              <w:rPr/>
            </w:pPr>
            <w:r>
              <w:rPr/>
              <w:t> </w:t>
            </w:r>
            <w:bookmarkStart w:id="281" w:name="xdx_40E_eus-gaap--IncomeTaxesPaidNet_i01"/>
            <w:bookmarkEnd w:id="281"/>
          </w:p>
        </w:tc>
      </w:tr>
      <w:tr>
        <w:trPr/>
        <w:tc>
          <w:tcPr>
            <w:tcW w:w="6536" w:type="dxa"/>
            <w:tcBorders/>
            <w:shd w:fill="FFFFFF" w:val="clear"/>
            <w:vAlign w:val="center"/>
          </w:tcPr>
          <w:p>
            <w:pPr>
              <w:pStyle w:val="TableContents"/>
              <w:bidi w:val="0"/>
              <w:spacing w:before="0" w:after="283"/>
              <w:jc w:val="left"/>
              <w:rPr/>
            </w:pPr>
            <w:r>
              <w:rPr/>
              <w:t>Taxes paid</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1470" w:type="dxa"/>
            <w:tcBorders/>
            <w:shd w:fill="FFFFFF" w:val="clear"/>
            <w:vAlign w:val="center"/>
          </w:tcPr>
          <w:p>
            <w:pPr>
              <w:pStyle w:val="TableContents"/>
              <w:bidi w:val="0"/>
              <w:spacing w:before="0" w:after="283"/>
              <w:jc w:val="right"/>
              <w:rPr/>
            </w:pPr>
            <w:r>
              <w:rPr/>
              <w:t>2,650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5,150</w:t>
            </w:r>
          </w:p>
        </w:tc>
        <w:tc>
          <w:tcPr>
            <w:tcW w:w="112" w:type="dxa"/>
            <w:tcBorders/>
            <w:shd w:fill="FFFFFF" w:val="clear"/>
            <w:vAlign w:val="center"/>
          </w:tcPr>
          <w:p>
            <w:pPr>
              <w:pStyle w:val="TableContents"/>
              <w:bidi w:val="0"/>
              <w:spacing w:before="0" w:after="283"/>
              <w:jc w:val="left"/>
              <w:rPr/>
            </w:pPr>
            <w:r>
              <w:rPr/>
              <w:t> </w:t>
            </w:r>
            <w:bookmarkStart w:id="282" w:name="xdx_40B_eus-gaap--CashFlowNoncashInvesti"/>
            <w:bookmarkEnd w:id="282"/>
          </w:p>
        </w:tc>
      </w:tr>
      <w:tr>
        <w:trPr/>
        <w:tc>
          <w:tcPr>
            <w:tcW w:w="6536" w:type="dxa"/>
            <w:tcBorders/>
            <w:shd w:fill="CCEEFF" w:val="clear"/>
            <w:vAlign w:val="center"/>
          </w:tcPr>
          <w:p>
            <w:pPr>
              <w:pStyle w:val="TableContents"/>
              <w:bidi w:val="0"/>
              <w:spacing w:before="0" w:after="283"/>
              <w:jc w:val="left"/>
              <w:rPr/>
            </w:pPr>
            <w:r>
              <w:rPr/>
              <w:t>Supplemental disclosure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83" w:name="xdx_40C_ecustom--UnpaidCapitalProjectCos"/>
            <w:bookmarkEnd w:id="283"/>
          </w:p>
        </w:tc>
      </w:tr>
      <w:tr>
        <w:trPr/>
        <w:tc>
          <w:tcPr>
            <w:tcW w:w="6536" w:type="dxa"/>
            <w:tcBorders/>
            <w:shd w:fill="FFFFFF" w:val="clear"/>
            <w:vAlign w:val="center"/>
          </w:tcPr>
          <w:p>
            <w:pPr>
              <w:pStyle w:val="TableContents"/>
              <w:bidi w:val="0"/>
              <w:spacing w:before="0" w:after="283"/>
              <w:jc w:val="left"/>
              <w:rPr/>
            </w:pPr>
            <w:r>
              <w:rPr/>
              <w:t>Unpaid capital project costs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112,514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1,698,517</w:t>
            </w:r>
          </w:p>
        </w:tc>
        <w:tc>
          <w:tcPr>
            <w:tcW w:w="112" w:type="dxa"/>
            <w:tcBorders/>
            <w:shd w:fill="FFFFFF" w:val="clear"/>
            <w:vAlign w:val="center"/>
          </w:tcPr>
          <w:p>
            <w:pPr>
              <w:pStyle w:val="TableContents"/>
              <w:bidi w:val="0"/>
              <w:spacing w:before="0" w:after="283"/>
              <w:jc w:val="left"/>
              <w:rPr/>
            </w:pPr>
            <w:r>
              <w:rPr/>
              <w:t> </w:t>
            </w:r>
            <w:bookmarkStart w:id="284" w:name="xdx_400_ecustom--UnpaidPpePurchaseCost_i"/>
            <w:bookmarkEnd w:id="284"/>
          </w:p>
        </w:tc>
      </w:tr>
      <w:tr>
        <w:trPr/>
        <w:tc>
          <w:tcPr>
            <w:tcW w:w="6536" w:type="dxa"/>
            <w:tcBorders/>
            <w:shd w:fill="CCEEFF" w:val="clear"/>
            <w:vAlign w:val="center"/>
          </w:tcPr>
          <w:p>
            <w:pPr>
              <w:pStyle w:val="TableContents"/>
              <w:bidi w:val="0"/>
              <w:spacing w:before="0" w:after="283"/>
              <w:jc w:val="left"/>
              <w:rPr/>
            </w:pPr>
            <w:r>
              <w:rPr/>
              <w:t>Unpaid property and equipment purchase cost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9,132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85" w:name="xdx_40F_ecustom--FairValueOfCommonStockI"/>
            <w:bookmarkEnd w:id="285"/>
          </w:p>
        </w:tc>
      </w:tr>
      <w:tr>
        <w:trPr/>
        <w:tc>
          <w:tcPr>
            <w:tcW w:w="6536" w:type="dxa"/>
            <w:tcBorders/>
            <w:shd w:fill="FFFFFF" w:val="clear"/>
            <w:vAlign w:val="center"/>
          </w:tcPr>
          <w:p>
            <w:pPr>
              <w:pStyle w:val="TableContents"/>
              <w:bidi w:val="0"/>
              <w:spacing w:before="0" w:after="283"/>
              <w:jc w:val="left"/>
              <w:rPr/>
            </w:pPr>
            <w:r>
              <w:rPr/>
              <w:t>Fair value of common stock issued to settle accrued bonus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1,573,032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86" w:name="xdx_40E_eus-gaap--RightOfUseAssetObtaine"/>
            <w:bookmarkEnd w:id="286"/>
          </w:p>
        </w:tc>
      </w:tr>
      <w:tr>
        <w:trPr/>
        <w:tc>
          <w:tcPr>
            <w:tcW w:w="6536" w:type="dxa"/>
            <w:tcBorders/>
            <w:shd w:fill="CCEEFF" w:val="clear"/>
            <w:vAlign w:val="center"/>
          </w:tcPr>
          <w:p>
            <w:pPr>
              <w:pStyle w:val="TableContents"/>
              <w:bidi w:val="0"/>
              <w:spacing w:before="0" w:after="283"/>
              <w:jc w:val="left"/>
              <w:rPr/>
            </w:pPr>
            <w:r>
              <w:rPr/>
              <w:t>Operating right of use asset obtained in exchange for new lease liability</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173,254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87" w:name="xdx_404_ecustom--CommonStockIssuedForPar"/>
            <w:bookmarkEnd w:id="287"/>
          </w:p>
        </w:tc>
      </w:tr>
      <w:tr>
        <w:trPr/>
        <w:tc>
          <w:tcPr>
            <w:tcW w:w="6536" w:type="dxa"/>
            <w:tcBorders/>
            <w:shd w:fill="FFFFFF" w:val="clear"/>
            <w:vAlign w:val="center"/>
          </w:tcPr>
          <w:p>
            <w:pPr>
              <w:pStyle w:val="TableContents"/>
              <w:bidi w:val="0"/>
              <w:spacing w:before="0" w:after="283"/>
              <w:jc w:val="left"/>
              <w:rPr/>
            </w:pPr>
            <w:r>
              <w:rPr/>
              <w:t>Common stock issued for partial repayment of 2025 convertible note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847,381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88" w:name="xdx_401_ecustom--UnpaidAtthemarketOfferi"/>
            <w:bookmarkEnd w:id="288"/>
          </w:p>
        </w:tc>
      </w:tr>
      <w:tr>
        <w:trPr/>
        <w:tc>
          <w:tcPr>
            <w:tcW w:w="6536" w:type="dxa"/>
            <w:tcBorders/>
            <w:shd w:fill="CCEEFF" w:val="clear"/>
            <w:vAlign w:val="center"/>
          </w:tcPr>
          <w:p>
            <w:pPr>
              <w:pStyle w:val="TableContents"/>
              <w:bidi w:val="0"/>
              <w:spacing w:before="0" w:after="283"/>
              <w:jc w:val="left"/>
              <w:rPr/>
            </w:pPr>
            <w:r>
              <w:rPr/>
              <w:t>Unpaid at-the-market offering costs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57,875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89" w:name="xdx_406_ecustom--ReclassOfAdvancesToCapi"/>
            <w:bookmarkEnd w:id="289"/>
          </w:p>
        </w:tc>
      </w:tr>
      <w:tr>
        <w:trPr/>
        <w:tc>
          <w:tcPr>
            <w:tcW w:w="6536" w:type="dxa"/>
            <w:tcBorders/>
            <w:shd w:fill="FFFFFF" w:val="clear"/>
            <w:vAlign w:val="center"/>
          </w:tcPr>
          <w:p>
            <w:pPr>
              <w:pStyle w:val="TableContents"/>
              <w:bidi w:val="0"/>
              <w:spacing w:before="0" w:after="283"/>
              <w:jc w:val="left"/>
              <w:rPr/>
            </w:pPr>
            <w:r>
              <w:rPr/>
              <w:t>Reclass of advances to capital project costs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236,235</w:t>
            </w:r>
          </w:p>
        </w:tc>
        <w:tc>
          <w:tcPr>
            <w:tcW w:w="112" w:type="dxa"/>
            <w:tcBorders/>
            <w:shd w:fill="FFFFFF" w:val="clear"/>
            <w:vAlign w:val="center"/>
          </w:tcPr>
          <w:p>
            <w:pPr>
              <w:pStyle w:val="TableContents"/>
              <w:bidi w:val="0"/>
              <w:spacing w:before="0" w:after="283"/>
              <w:jc w:val="left"/>
              <w:rPr/>
            </w:pPr>
            <w:r>
              <w:rPr/>
              <w:t> </w:t>
            </w:r>
            <w:bookmarkStart w:id="290" w:name="xdx_40E_ecustom--UnpaidPublicOfferingIss"/>
            <w:bookmarkEnd w:id="290"/>
          </w:p>
        </w:tc>
      </w:tr>
      <w:tr>
        <w:trPr/>
        <w:tc>
          <w:tcPr>
            <w:tcW w:w="6536" w:type="dxa"/>
            <w:tcBorders/>
            <w:shd w:fill="CCEEFF" w:val="clear"/>
            <w:vAlign w:val="center"/>
          </w:tcPr>
          <w:p>
            <w:pPr>
              <w:pStyle w:val="TableContents"/>
              <w:bidi w:val="0"/>
              <w:spacing w:before="0" w:after="283"/>
              <w:jc w:val="left"/>
              <w:rPr/>
            </w:pPr>
            <w:r>
              <w:rPr/>
              <w:t>Unpaid public offering issuance cost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623,345</w:t>
            </w:r>
          </w:p>
        </w:tc>
        <w:tc>
          <w:tcPr>
            <w:tcW w:w="112" w:type="dxa"/>
            <w:tcBorders/>
            <w:shd w:fill="CCEEFF" w:val="clear"/>
            <w:vAlign w:val="center"/>
          </w:tcPr>
          <w:p>
            <w:pPr>
              <w:pStyle w:val="TableContents"/>
              <w:bidi w:val="0"/>
              <w:spacing w:before="0" w:after="283"/>
              <w:jc w:val="left"/>
              <w:rPr/>
            </w:pPr>
            <w:r>
              <w:rPr/>
              <w:t> </w:t>
            </w:r>
            <w:bookmarkStart w:id="291" w:name="xdx_409_ecustom--UnpaidStockIssuanceUnde"/>
            <w:bookmarkEnd w:id="291"/>
          </w:p>
        </w:tc>
      </w:tr>
      <w:tr>
        <w:trPr/>
        <w:tc>
          <w:tcPr>
            <w:tcW w:w="6536" w:type="dxa"/>
            <w:tcBorders/>
            <w:shd w:fill="FFFFFF" w:val="clear"/>
            <w:vAlign w:val="center"/>
          </w:tcPr>
          <w:p>
            <w:pPr>
              <w:pStyle w:val="TableContents"/>
              <w:bidi w:val="0"/>
              <w:spacing w:before="0" w:after="283"/>
              <w:jc w:val="left"/>
              <w:rPr/>
            </w:pPr>
            <w:r>
              <w:rPr/>
              <w:t>Unpaid warrant inducement issuance cost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29,000</w:t>
            </w:r>
          </w:p>
        </w:tc>
        <w:tc>
          <w:tcPr>
            <w:tcW w:w="112" w:type="dxa"/>
            <w:tcBorders/>
            <w:shd w:fill="FFFFFF" w:val="clear"/>
            <w:vAlign w:val="center"/>
          </w:tcPr>
          <w:p>
            <w:pPr>
              <w:pStyle w:val="TableContents"/>
              <w:bidi w:val="0"/>
              <w:spacing w:before="0" w:after="283"/>
              <w:jc w:val="left"/>
              <w:rPr/>
            </w:pPr>
            <w:r>
              <w:rPr/>
              <w:t> </w:t>
            </w:r>
            <w:bookmarkStart w:id="292" w:name="xdx_407_ecustom--IncrementalFairValueOfW"/>
            <w:bookmarkEnd w:id="292"/>
          </w:p>
        </w:tc>
      </w:tr>
      <w:tr>
        <w:trPr/>
        <w:tc>
          <w:tcPr>
            <w:tcW w:w="6536" w:type="dxa"/>
            <w:tcBorders/>
            <w:shd w:fill="CCEEFF" w:val="clear"/>
            <w:vAlign w:val="center"/>
          </w:tcPr>
          <w:p>
            <w:pPr>
              <w:pStyle w:val="TableContents"/>
              <w:bidi w:val="0"/>
              <w:spacing w:before="0" w:after="283"/>
              <w:jc w:val="left"/>
              <w:rPr/>
            </w:pPr>
            <w:r>
              <w:rPr/>
              <w:t>Incremental fair value of warrant inducement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2,108,480</w:t>
            </w:r>
          </w:p>
        </w:tc>
        <w:tc>
          <w:tcPr>
            <w:tcW w:w="112" w:type="dxa"/>
            <w:tcBorders/>
            <w:shd w:fill="CCEEFF" w:val="clear"/>
            <w:vAlign w:val="center"/>
          </w:tcPr>
          <w:p>
            <w:pPr>
              <w:pStyle w:val="TableContents"/>
              <w:bidi w:val="0"/>
              <w:spacing w:before="0" w:after="283"/>
              <w:jc w:val="left"/>
              <w:rPr/>
            </w:pPr>
            <w:r>
              <w:rPr/>
              <w:t> </w:t>
            </w:r>
            <w:bookmarkStart w:id="293" w:name="xdx_403_ecustom--IssuanceOfCommonStockTo"/>
            <w:bookmarkEnd w:id="293"/>
          </w:p>
        </w:tc>
      </w:tr>
      <w:tr>
        <w:trPr/>
        <w:tc>
          <w:tcPr>
            <w:tcW w:w="6536" w:type="dxa"/>
            <w:tcBorders/>
            <w:shd w:fill="FFFFFF" w:val="clear"/>
            <w:vAlign w:val="center"/>
          </w:tcPr>
          <w:p>
            <w:pPr>
              <w:pStyle w:val="TableContents"/>
              <w:bidi w:val="0"/>
              <w:spacing w:before="0" w:after="283"/>
              <w:jc w:val="left"/>
              <w:rPr/>
            </w:pPr>
            <w:r>
              <w:rPr/>
              <w:t>Issuance of common stock to short- term loan holders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6,200,000</w:t>
            </w:r>
          </w:p>
        </w:tc>
        <w:tc>
          <w:tcPr>
            <w:tcW w:w="112" w:type="dxa"/>
            <w:tcBorders/>
            <w:shd w:fill="FFFFFF" w:val="clear"/>
            <w:vAlign w:val="center"/>
          </w:tcPr>
          <w:p>
            <w:pPr>
              <w:pStyle w:val="TableContents"/>
              <w:bidi w:val="0"/>
              <w:spacing w:before="0" w:after="283"/>
              <w:jc w:val="left"/>
              <w:rPr/>
            </w:pPr>
            <w:r>
              <w:rPr/>
              <w:t> </w:t>
            </w:r>
            <w:bookmarkStart w:id="294" w:name="xdx_406_ecustom--IssuanceOfCommonStockTo"/>
            <w:bookmarkEnd w:id="294"/>
          </w:p>
        </w:tc>
      </w:tr>
      <w:tr>
        <w:trPr/>
        <w:tc>
          <w:tcPr>
            <w:tcW w:w="6536" w:type="dxa"/>
            <w:tcBorders/>
            <w:shd w:fill="CCEEFF" w:val="clear"/>
            <w:vAlign w:val="center"/>
          </w:tcPr>
          <w:p>
            <w:pPr>
              <w:pStyle w:val="TableContents"/>
              <w:bidi w:val="0"/>
              <w:spacing w:before="0" w:after="283"/>
              <w:jc w:val="left"/>
              <w:rPr/>
            </w:pPr>
            <w:r>
              <w:rPr/>
              <w:t>Issuance of common stock to PIPE investors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550,000</w:t>
            </w:r>
          </w:p>
        </w:tc>
        <w:tc>
          <w:tcPr>
            <w:tcW w:w="112" w:type="dxa"/>
            <w:tcBorders/>
            <w:shd w:fill="CCEEFF" w:val="clear"/>
            <w:vAlign w:val="center"/>
          </w:tcPr>
          <w:p>
            <w:pPr>
              <w:pStyle w:val="TableContents"/>
              <w:bidi w:val="0"/>
              <w:spacing w:before="0" w:after="283"/>
              <w:jc w:val="left"/>
              <w:rPr/>
            </w:pPr>
            <w:r>
              <w:rPr/>
              <w:t> </w:t>
            </w:r>
            <w:bookmarkStart w:id="295" w:name="xdx_401_ecustom--IssuanceOfCommonStockTo"/>
            <w:bookmarkEnd w:id="295"/>
          </w:p>
        </w:tc>
      </w:tr>
      <w:tr>
        <w:trPr/>
        <w:tc>
          <w:tcPr>
            <w:tcW w:w="6536" w:type="dxa"/>
            <w:tcBorders/>
            <w:shd w:fill="FFFFFF" w:val="clear"/>
            <w:vAlign w:val="center"/>
          </w:tcPr>
          <w:p>
            <w:pPr>
              <w:pStyle w:val="TableContents"/>
              <w:bidi w:val="0"/>
              <w:spacing w:before="0" w:after="283"/>
              <w:jc w:val="left"/>
              <w:rPr/>
            </w:pPr>
            <w:r>
              <w:rPr/>
              <w:t>Issuance of common stock to vendor</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80,612</w:t>
            </w:r>
          </w:p>
        </w:tc>
        <w:tc>
          <w:tcPr>
            <w:tcW w:w="112" w:type="dxa"/>
            <w:tcBorders/>
            <w:shd w:fill="FFFFFF" w:val="clear"/>
            <w:vAlign w:val="center"/>
          </w:tcPr>
          <w:p>
            <w:pPr>
              <w:pStyle w:val="TableContents"/>
              <w:bidi w:val="0"/>
              <w:spacing w:before="0" w:after="283"/>
              <w:jc w:val="left"/>
              <w:rPr/>
            </w:pPr>
            <w:r>
              <w:rPr/>
              <w:t> </w:t>
            </w:r>
            <w:bookmarkStart w:id="296" w:name="xdx_40F_ecustom--IssuanceOfCommonStockUn"/>
            <w:bookmarkEnd w:id="296"/>
          </w:p>
        </w:tc>
      </w:tr>
      <w:tr>
        <w:trPr/>
        <w:tc>
          <w:tcPr>
            <w:tcW w:w="6536" w:type="dxa"/>
            <w:tcBorders/>
            <w:shd w:fill="CCEEFF" w:val="clear"/>
            <w:vAlign w:val="center"/>
          </w:tcPr>
          <w:p>
            <w:pPr>
              <w:pStyle w:val="TableContents"/>
              <w:bidi w:val="0"/>
              <w:spacing w:before="0" w:after="283"/>
              <w:jc w:val="left"/>
              <w:rPr/>
            </w:pPr>
            <w:r>
              <w:rPr/>
              <w:t>Issuance of common stock under license arrangement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343,000</w:t>
            </w:r>
          </w:p>
        </w:tc>
        <w:tc>
          <w:tcPr>
            <w:tcW w:w="112"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7" w:name="a_007"/>
      <w:bookmarkEnd w:id="297"/>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298" w:name="xdx_80F_eus-gaap--OrganizationConsolidat"/>
      <w:bookmarkEnd w:id="298"/>
      <w:r>
        <w:rPr>
          <w:rFonts w:ascii="Times New Roman;Times;Serif" w:hAnsi="Times New Roman;Times;Serif"/>
          <w:b/>
          <w:i w:val="false"/>
          <w:caps/>
          <w:sz w:val="20"/>
        </w:rPr>
        <w:t xml:space="preserve">NOTE 1 – </w:t>
      </w:r>
      <w:bookmarkStart w:id="299" w:name="xdx_820_zeuBh8FiBCK9"/>
      <w:bookmarkEnd w:id="299"/>
      <w:r>
        <w:rPr>
          <w:rFonts w:ascii="Times New Roman;Times;Serif" w:hAnsi="Times New Roman;Times;Serif"/>
          <w:b/>
          <w:i w:val="false"/>
          <w:caps/>
          <w:sz w:val="20"/>
        </w:rPr>
        <w:t>DESCRIPTION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Stardust Power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Stardust Power</w:t>
      </w:r>
      <w:r>
        <w:rPr>
          <w:rFonts w:ascii="Times New Roman;Times;Serif" w:hAnsi="Times New Roman;Times;Serif"/>
          <w:b w:val="false"/>
          <w:i w:val="false"/>
          <w:caps w:val="false"/>
          <w:smallCaps w:val="false"/>
          <w:sz w:val="20"/>
        </w:rPr>
        <w:t>”), formerly known as Global Partner Acquisition Corp II (“</w:t>
      </w:r>
      <w:r>
        <w:rPr>
          <w:rFonts w:ascii="Times New Roman;Times;Serif" w:hAnsi="Times New Roman;Times;Serif"/>
          <w:b/>
          <w:i w:val="false"/>
          <w:caps w:val="false"/>
          <w:smallCaps w:val="false"/>
          <w:sz w:val="20"/>
        </w:rPr>
        <w:t>GPAC II</w:t>
      </w:r>
      <w:r>
        <w:rPr>
          <w:rFonts w:ascii="Times New Roman;Times;Serif" w:hAnsi="Times New Roman;Times;Serif"/>
          <w:b w:val="false"/>
          <w:i w:val="false"/>
          <w:caps w:val="false"/>
          <w:smallCaps w:val="false"/>
          <w:sz w:val="20"/>
        </w:rPr>
        <w:t xml:space="preserve">”), a Delaware corporation, is an American developer of battery grade lithium products, designed to foster energy independence in the United States. While the Company has not earned any revenue yet, the Company is in the process of developing a strategically central, lithium refinery capable of producing up to </w:t>
      </w:r>
      <w:bookmarkStart w:id="300" w:name="xdx_90D_ecustom--BatteryGradeLithumNumbe"/>
      <w:bookmarkEnd w:id="300"/>
      <w:r>
        <w:rPr>
          <w:rFonts w:ascii="Times New Roman;Times;Serif" w:hAnsi="Times New Roman;Times;Serif"/>
          <w:b w:val="false"/>
          <w:i w:val="false"/>
          <w:caps w:val="false"/>
          <w:smallCaps w:val="false"/>
          <w:sz w:val="20"/>
        </w:rPr>
        <w:t>50,000 metric tons per annum of battery grade lithium.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301" w:name="xdx_80D_eus-gaap--BasisOfPresentationAnd"/>
      <w:bookmarkEnd w:id="301"/>
      <w:r>
        <w:rPr>
          <w:rFonts w:ascii="Times New Roman;Times;Serif" w:hAnsi="Times New Roman;Times;Serif"/>
          <w:b/>
          <w:i w:val="false"/>
          <w:caps/>
          <w:sz w:val="20"/>
        </w:rPr>
        <w:t xml:space="preserve">NOTE 2 – </w:t>
      </w:r>
      <w:bookmarkStart w:id="302" w:name="xdx_823_zsKLxT0wWN3"/>
      <w:bookmarkEnd w:id="302"/>
      <w:r>
        <w:rPr>
          <w:rFonts w:ascii="Times New Roman;Times;Serif" w:hAnsi="Times New Roman;Times;Serif"/>
          <w:b/>
          <w:i w:val="false"/>
          <w:caps/>
          <w:sz w:val="20"/>
        </w:rPr>
        <w:t>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3" w:name="xdx_860_zf5y7Jmg3Go"/>
      <w:bookmarkStart w:id="304" w:name="xdx_84B_eus-gaap--BasisOfAccountingPolic"/>
      <w:bookmarkEnd w:id="303"/>
      <w:bookmarkEnd w:id="304"/>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on the accrual basis of accounting in conformity with U.S. generally accepted accounting principles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and pursuant to the rules and regulations of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regarding interim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 accompanying unaudited condensed consolidated financial statements include all normal and recurring adjustments (which consist primarily of accruals, estimates and assumptions that impact the unaudited condensed consolidated financial statements) considered necessary to present fairly the Company’s unaudited condensed consolidated balance sheet as of June 30, 2026, its unaudited condensed consolidated statements of operations and stockholders’ deficit for the three and six months ended June 30, 2026 and June 30, 2025, and its unaudited condensed consolidated statements of cash flows for the six months ended June 30, 2026 and June 30, 2025. Certain information and note disclosures normally included in the financial statements prepared in accordance with U.S. GAAP have been condensed or omitted pursuant to such rules and regulations. As such, the information included in this report should be read in conjunction with the audited consolidated financial statements and notes thereto of Stardust Power for the year ended December 31, 2025 included in the Company’s Annual Report on Form 10-K filed with the SEC on March 25, 2026 (the “</w:t>
      </w:r>
      <w:r>
        <w:rPr>
          <w:rFonts w:ascii="Times New Roman;Times;Serif" w:hAnsi="Times New Roman;Times;Serif"/>
          <w:b/>
          <w:i w:val="false"/>
          <w:caps w:val="false"/>
          <w:smallCaps w:val="false"/>
          <w:sz w:val="20"/>
        </w:rPr>
        <w:t>Form 10-K</w:t>
      </w:r>
      <w:r>
        <w:rPr>
          <w:rFonts w:ascii="Times New Roman;Times;Serif" w:hAnsi="Times New Roman;Times;Serif"/>
          <w:b w:val="false"/>
          <w:i w:val="false"/>
          <w:caps w:val="false"/>
          <w:smallCaps w:val="false"/>
          <w:sz w:val="20"/>
        </w:rPr>
        <w:t>”), which provides a more complete discussion of the Company’s accounting policies and certain other information. The accompanying condensed consolidated balance sheet as of December 31, 2025, has been derived from the audited consolidated balance sheet as of December 31, 2025, contained in the above referenced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include the accounts of Stardust Power Inc. and its wholly owned subsidiaries, Stardust Power LLC and Strike Merger Sub II, LLC. All material intercompany balances have been eliminated upon consolidation. Interim results are not necessarily indicative of results for a full year or any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are presented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5" w:name="xdx_869_zwnzBzQw6kK2"/>
      <w:bookmarkStart w:id="306" w:name="xdx_849_eus-gaap--UseOfEstimates_ztGJGr3"/>
      <w:bookmarkEnd w:id="305"/>
      <w:bookmarkEnd w:id="306"/>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unaudited condensed consolidated financial statements in conformity with U.S. GAAP requires us to make estimates and assumptions that affect the amounts reported and disclosed in the unaudited condensed consolidated financial statements and accompanying notes. Those estimates and assumptions include, but are not limited to, useful life of assets, realization of deferred tax assets, the incremental borrowing rate for determining operating lease assets and liabilities and fair valuation of stock-based compensation, common shares purchase agreement, warrants, convertible notes, and sponsor earnout shares. The Company evaluates estimates and assumptions on an ongoing basis using historical experience and other factors and adjusts those estimates and assumptions when facts and circumstances dictate. As future events and their effects cannot be determined with precision, actual results could differ from these estimates, and those differences could be material to the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7" w:name="xdx_867_zQyuXn79bJSi"/>
      <w:bookmarkStart w:id="308" w:name="xdx_846_ecustom--EmergingGrowthCompanyPo"/>
      <w:bookmarkEnd w:id="307"/>
      <w:bookmarkEnd w:id="308"/>
      <w:r>
        <w:rPr>
          <w:rFonts w:ascii="Times New Roman;Times;Serif" w:hAnsi="Times New Roman;Times;Serif"/>
          <w:b/>
          <w:i/>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standard at the time private companies adopt the new or revised standard.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9" w:name="xdx_86E_zCQ79DuQxhQa"/>
      <w:bookmarkStart w:id="310" w:name="xdx_84E_ecustom--ReserveStockSplitTextBl"/>
      <w:bookmarkEnd w:id="309"/>
      <w:bookmarkEnd w:id="310"/>
      <w:r>
        <w:rPr>
          <w:rFonts w:ascii="Times New Roman;Times;Serif" w:hAnsi="Times New Roman;Times;Serif"/>
          <w:b/>
          <w:i w:val="false"/>
          <w:caps w:val="false"/>
          <w:smallCaps w:val="false"/>
          <w:sz w:val="20"/>
        </w:rPr>
        <w:t xml:space="preserve">Reverse Stock Split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8, 2025, the Company effected a </w:t>
      </w:r>
      <w:bookmarkStart w:id="311" w:name="xdx_900_eus-gaap--StockholdersEquityNote"/>
      <w:bookmarkEnd w:id="311"/>
      <w:r>
        <w:rPr>
          <w:rFonts w:ascii="Times New Roman;Times;Serif" w:hAnsi="Times New Roman;Times;Serif"/>
          <w:b w:val="false"/>
          <w:i w:val="false"/>
          <w:caps w:val="false"/>
          <w:smallCaps w:val="false"/>
          <w:sz w:val="20"/>
        </w:rPr>
        <w:t>1-for-10 reverse stock split (the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of the Company’s common stock, par value $</w:t>
      </w:r>
      <w:bookmarkStart w:id="312" w:name="xdx_90A_eus-gaap--CommonStockParOrStated"/>
      <w:bookmarkEnd w:id="312"/>
      <w:r>
        <w:rPr>
          <w:rFonts w:ascii="Times New Roman;Times;Serif" w:hAnsi="Times New Roman;Times;Serif"/>
          <w:b w:val="false"/>
          <w:i w:val="false"/>
          <w:caps w:val="false"/>
          <w:smallCaps w:val="false"/>
          <w:sz w:val="20"/>
        </w:rPr>
        <w:t>0.0001 per share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As a result of the Reverse Stock Split, every 10 shares of the Company’s Common Stock issued and outstanding were automatically converted into one new share of Common Stock. Proportionate adjustments were also made to (i) the exercise prices, and the number of shares underlying the Company’s outstanding equity awards, as applicable, (ii) the number of shares issuable under the Company’s equity incentive plans and certain existing agreements, and (iii) the number of shares purchasable upon exercise, and/or the exercise prices, of the Company’s outstanding warrants to purchase shares of the Company’s Common Stock. The Reverse Stock Split did not decrease the number of authorized shares of Common Stock and preferred stock or otherwise affect the par value of the Common Stock. No fractional shares were issued in connection with the Reverse Stock Split and any fractional shares resulting from the Reverse Stock Split were rounded down to the nearest whole share. Stockholders who were otherwise entitled to receive fractional shares as a result of the Reverse Stock Split were paid cash in lieu thereof. All shares of the Company’s Common Stock, per-share data and related information included in the accompanying unaudited condensed consolidated financial statements have been retroactively adjusted as though the Reverse Stock Split had been effected prior to all periods presented.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3" w:name="xdx_86E_z5f2w6YIhM64"/>
      <w:bookmarkStart w:id="314" w:name="xdx_840_eus-gaap--SubstantialDoubtAboutG"/>
      <w:bookmarkEnd w:id="313"/>
      <w:bookmarkEnd w:id="314"/>
      <w:r>
        <w:rPr>
          <w:rFonts w:ascii="Times New Roman;Times;Serif" w:hAnsi="Times New Roman;Times;Serif"/>
          <w:b/>
          <w:i/>
          <w:caps w:val="false"/>
          <w:smallCaps w:val="false"/>
          <w:sz w:val="20"/>
        </w:rPr>
        <w:t>Going Concern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condensed consolidated financial statements have been presented on the basis that it is a going concern, which contemplates the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has $</w:t>
      </w:r>
      <w:bookmarkStart w:id="315" w:name="xdx_90A_eus-gaap--CashAndCashEquivalents"/>
      <w:bookmarkEnd w:id="315"/>
      <w:r>
        <w:rPr>
          <w:rFonts w:ascii="Times New Roman;Times;Serif" w:hAnsi="Times New Roman;Times;Serif"/>
          <w:b w:val="false"/>
          <w:i w:val="false"/>
          <w:caps w:val="false"/>
          <w:smallCaps w:val="false"/>
          <w:sz w:val="20"/>
        </w:rPr>
        <w:t>540,264 of unrestricted cash. The Company is a development stage entity having no revenues and has incurred a net loss of $</w:t>
      </w:r>
      <w:bookmarkStart w:id="316" w:name="xdx_901_eus-gaap--NetIncomeLoss_iN_di_c2"/>
      <w:bookmarkEnd w:id="316"/>
      <w:r>
        <w:rPr>
          <w:rFonts w:ascii="Times New Roman;Times;Serif" w:hAnsi="Times New Roman;Times;Serif"/>
          <w:b w:val="false"/>
          <w:i w:val="false"/>
          <w:caps w:val="false"/>
          <w:smallCaps w:val="false"/>
          <w:sz w:val="20"/>
        </w:rPr>
        <w:t>3,902,894 and $</w:t>
      </w:r>
      <w:bookmarkStart w:id="317" w:name="xdx_902_eus-gaap--NetIncomeLoss_iN_di_c2"/>
      <w:bookmarkEnd w:id="317"/>
      <w:r>
        <w:rPr>
          <w:rFonts w:ascii="Times New Roman;Times;Serif" w:hAnsi="Times New Roman;Times;Serif"/>
          <w:b w:val="false"/>
          <w:i w:val="false"/>
          <w:caps w:val="false"/>
          <w:smallCaps w:val="false"/>
          <w:sz w:val="20"/>
        </w:rPr>
        <w:t>9,137,586 for the three and six months ended June 30, 2026, respectively. The Company has an accumulated deficit of $</w:t>
      </w:r>
      <w:bookmarkStart w:id="318" w:name="xdx_90A_eus-gaap--RetainedEarningsAccumu"/>
      <w:bookmarkEnd w:id="318"/>
      <w:r>
        <w:rPr>
          <w:rFonts w:ascii="Times New Roman;Times;Serif" w:hAnsi="Times New Roman;Times;Serif"/>
          <w:b w:val="false"/>
          <w:i w:val="false"/>
          <w:caps w:val="false"/>
          <w:smallCaps w:val="false"/>
          <w:sz w:val="20"/>
        </w:rPr>
        <w:t>77,480,170 and stockholders’ deficit of $</w:t>
      </w:r>
      <w:bookmarkStart w:id="319" w:name="xdx_90E_eus-gaap--StockholdersEquity_iNI"/>
      <w:bookmarkEnd w:id="319"/>
      <w:r>
        <w:rPr>
          <w:rFonts w:ascii="Times New Roman;Times;Serif" w:hAnsi="Times New Roman;Times;Serif"/>
          <w:b w:val="false"/>
          <w:i w:val="false"/>
          <w:caps w:val="false"/>
          <w:smallCaps w:val="false"/>
          <w:sz w:val="20"/>
        </w:rPr>
        <w:t>8,240,860 as of June 30, 2026. The Company expects to continue to incur significant costs in pursuit of its operating and investment plans. These costs exceed the Company’s existing cash balance and net working capital. These conditions raise substantial doubt about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2025, the Company entered into a Securities Purchase Agreement (the “</w:t>
      </w:r>
      <w:r>
        <w:rPr>
          <w:rFonts w:ascii="Times New Roman;Times;Serif" w:hAnsi="Times New Roman;Times;Serif"/>
          <w:b/>
          <w:i w:val="false"/>
          <w:caps w:val="false"/>
          <w:smallCaps w:val="false"/>
          <w:sz w:val="20"/>
        </w:rPr>
        <w:t>Lind Securities Purchase Agreement</w:t>
      </w:r>
      <w:r>
        <w:rPr>
          <w:rFonts w:ascii="Times New Roman;Times;Serif" w:hAnsi="Times New Roman;Times;Serif"/>
          <w:b w:val="false"/>
          <w:i w:val="false"/>
          <w:caps w:val="false"/>
          <w:smallCaps w:val="false"/>
          <w:sz w:val="20"/>
        </w:rPr>
        <w:t>”) with Lind Global Asset Management XIII LLC (“</w:t>
      </w:r>
      <w:r>
        <w:rPr>
          <w:rFonts w:ascii="Times New Roman;Times;Serif" w:hAnsi="Times New Roman;Times;Serif"/>
          <w:b/>
          <w:i w:val="false"/>
          <w:caps w:val="false"/>
          <w:smallCaps w:val="false"/>
          <w:sz w:val="20"/>
        </w:rPr>
        <w:t>Lind</w:t>
      </w:r>
      <w:r>
        <w:rPr>
          <w:rFonts w:ascii="Times New Roman;Times;Serif" w:hAnsi="Times New Roman;Times;Serif"/>
          <w:b w:val="false"/>
          <w:i w:val="false"/>
          <w:caps w:val="false"/>
          <w:smallCaps w:val="false"/>
          <w:sz w:val="20"/>
        </w:rPr>
        <w:t>”) providing for up to $</w:t>
      </w:r>
      <w:bookmarkStart w:id="320" w:name="xdx_906_eus-gaap--ProceedsFromIssuanceOf"/>
      <w:bookmarkEnd w:id="320"/>
      <w:r>
        <w:rPr>
          <w:rFonts w:ascii="Times New Roman;Times;Serif" w:hAnsi="Times New Roman;Times;Serif"/>
          <w:b w:val="false"/>
          <w:i w:val="false"/>
          <w:caps w:val="false"/>
          <w:smallCaps w:val="false"/>
          <w:sz w:val="20"/>
        </w:rPr>
        <w:t>15,000,000 in senior secured convertible debt financing. Simultaneously, the Company initially drew down gross proceeds of $</w:t>
      </w:r>
      <w:bookmarkStart w:id="321" w:name="xdx_908_eus-gaap--ProceedsFromIssuanceOf"/>
      <w:bookmarkEnd w:id="321"/>
      <w:r>
        <w:rPr>
          <w:rFonts w:ascii="Times New Roman;Times;Serif" w:hAnsi="Times New Roman;Times;Serif"/>
          <w:b w:val="false"/>
          <w:i w:val="false"/>
          <w:caps w:val="false"/>
          <w:smallCaps w:val="false"/>
          <w:sz w:val="20"/>
        </w:rPr>
        <w:t>4,000,000 in exchange for issuance to Lind of a Senior Secured Convertible Promissory Note in the amount of $</w:t>
      </w:r>
      <w:bookmarkStart w:id="322" w:name="xdx_90B_eus-gaap--ProceedsFromIssuanceOf"/>
      <w:bookmarkEnd w:id="322"/>
      <w:r>
        <w:rPr>
          <w:rFonts w:ascii="Times New Roman;Times;Serif" w:hAnsi="Times New Roman;Times;Serif"/>
          <w:b w:val="false"/>
          <w:i w:val="false"/>
          <w:caps w:val="false"/>
          <w:smallCaps w:val="false"/>
          <w:sz w:val="20"/>
        </w:rPr>
        <w:t>4,800,000 (the “</w:t>
      </w:r>
      <w:r>
        <w:rPr>
          <w:rFonts w:ascii="Times New Roman;Times;Serif" w:hAnsi="Times New Roman;Times;Serif"/>
          <w:b/>
          <w:i w:val="false"/>
          <w:caps w:val="false"/>
          <w:smallCaps w:val="false"/>
          <w:sz w:val="20"/>
        </w:rPr>
        <w:t>2025 Convertible Note</w:t>
      </w:r>
      <w:r>
        <w:rPr>
          <w:rFonts w:ascii="Times New Roman;Times;Serif" w:hAnsi="Times New Roman;Times;Serif"/>
          <w:b w:val="false"/>
          <w:i w:val="false"/>
          <w:caps w:val="false"/>
          <w:smallCaps w:val="false"/>
          <w:sz w:val="20"/>
        </w:rPr>
        <w:t>”) and a Common Stock Purchase Warrant (the “</w:t>
      </w:r>
      <w:r>
        <w:rPr>
          <w:rFonts w:ascii="Times New Roman;Times;Serif" w:hAnsi="Times New Roman;Times;Serif"/>
          <w:b/>
          <w:i w:val="false"/>
          <w:caps w:val="false"/>
          <w:smallCaps w:val="false"/>
          <w:sz w:val="20"/>
        </w:rPr>
        <w:t>2025 Lind Warrant</w:t>
      </w:r>
      <w:r>
        <w:rPr>
          <w:rFonts w:ascii="Times New Roman;Times;Serif" w:hAnsi="Times New Roman;Times;Serif"/>
          <w:b w:val="false"/>
          <w:i w:val="false"/>
          <w:caps w:val="false"/>
          <w:smallCaps w:val="false"/>
          <w:sz w:val="20"/>
        </w:rPr>
        <w:t xml:space="preserve">”), for the purchase of approximately </w:t>
      </w:r>
      <w:bookmarkStart w:id="323" w:name="xdx_908_eus-gaap--ClassOfWarrantOrRightO"/>
      <w:bookmarkEnd w:id="323"/>
      <w:r>
        <w:rPr>
          <w:rFonts w:ascii="Times New Roman;Times;Serif" w:hAnsi="Times New Roman;Times;Serif"/>
          <w:b w:val="false"/>
          <w:i w:val="false"/>
          <w:caps w:val="false"/>
          <w:smallCaps w:val="false"/>
          <w:sz w:val="20"/>
        </w:rPr>
        <w:t>411,245 shares (the “</w:t>
      </w:r>
      <w:r>
        <w:rPr>
          <w:rFonts w:ascii="Times New Roman;Times;Serif" w:hAnsi="Times New Roman;Times;Serif"/>
          <w:b/>
          <w:i w:val="false"/>
          <w:caps w:val="false"/>
          <w:smallCaps w:val="false"/>
          <w:sz w:val="20"/>
        </w:rPr>
        <w:t>Lind Warrant Shares</w:t>
      </w:r>
      <w:r>
        <w:rPr>
          <w:rFonts w:ascii="Times New Roman;Times;Serif" w:hAnsi="Times New Roman;Times;Serif"/>
          <w:b w:val="false"/>
          <w:i w:val="false"/>
          <w:caps w:val="false"/>
          <w:smallCaps w:val="false"/>
          <w:sz w:val="20"/>
        </w:rPr>
        <w:t>”). After deducting a commitment fee of $</w:t>
      </w:r>
      <w:bookmarkStart w:id="324" w:name="xdx_90D_eus-gaap--OtherCommitment_iI_c20"/>
      <w:bookmarkEnd w:id="324"/>
      <w:r>
        <w:rPr>
          <w:rFonts w:ascii="Times New Roman;Times;Serif" w:hAnsi="Times New Roman;Times;Serif"/>
          <w:b w:val="false"/>
          <w:i w:val="false"/>
          <w:caps w:val="false"/>
          <w:smallCaps w:val="false"/>
          <w:sz w:val="20"/>
        </w:rPr>
        <w:t>100,000 and other transaction-related costs, the Company received net cash proceeds of $</w:t>
      </w:r>
      <w:bookmarkStart w:id="325" w:name="xdx_90B_eus-gaap--ProceedsFromDebtNetOfI"/>
      <w:bookmarkEnd w:id="325"/>
      <w:r>
        <w:rPr>
          <w:rFonts w:ascii="Times New Roman;Times;Serif" w:hAnsi="Times New Roman;Times;Serif"/>
          <w:b w:val="false"/>
          <w:i w:val="false"/>
          <w:caps w:val="false"/>
          <w:smallCaps w:val="false"/>
          <w:sz w:val="20"/>
        </w:rPr>
        <w:t>3,792,500 (See Note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2026, the Company entered into a Common Stock Purchase Agreement (the “</w:t>
      </w:r>
      <w:r>
        <w:rPr>
          <w:rFonts w:ascii="Times New Roman;Times;Serif" w:hAnsi="Times New Roman;Times;Serif"/>
          <w:b/>
          <w:i w:val="false"/>
          <w:caps w:val="false"/>
          <w:smallCaps w:val="false"/>
          <w:sz w:val="20"/>
        </w:rPr>
        <w:t>B. Riley Purchase Agreement</w:t>
      </w:r>
      <w:r>
        <w:rPr>
          <w:rFonts w:ascii="Times New Roman;Times;Serif" w:hAnsi="Times New Roman;Times;Serif"/>
          <w:b w:val="false"/>
          <w:i w:val="false"/>
          <w:caps w:val="false"/>
          <w:smallCaps w:val="false"/>
          <w:sz w:val="20"/>
        </w:rPr>
        <w:t>”) with B. Riley Principal Capital II, LLC (“</w:t>
      </w:r>
      <w:r>
        <w:rPr>
          <w:rFonts w:ascii="Times New Roman;Times;Serif" w:hAnsi="Times New Roman;Times;Serif"/>
          <w:b/>
          <w:i w:val="false"/>
          <w:caps w:val="false"/>
          <w:smallCaps w:val="false"/>
          <w:sz w:val="20"/>
        </w:rPr>
        <w:t>B. Riley Principal Capital II</w:t>
      </w:r>
      <w:r>
        <w:rPr>
          <w:rFonts w:ascii="Times New Roman;Times;Serif" w:hAnsi="Times New Roman;Times;Serif"/>
          <w:b w:val="false"/>
          <w:i w:val="false"/>
          <w:caps w:val="false"/>
          <w:smallCaps w:val="false"/>
          <w:sz w:val="20"/>
        </w:rPr>
        <w:t>”), the selling stockholder. Upon the terms and subject to the satisfaction of the conditions set forth in the B. Riley Purchase Agreement, the Company will have the right, in its sole discretion, to sell up to $</w:t>
      </w:r>
      <w:bookmarkStart w:id="326" w:name="xdx_909_eus-gaap--StockIssuedDuringPerio"/>
      <w:bookmarkEnd w:id="326"/>
      <w:r>
        <w:rPr>
          <w:rFonts w:ascii="Times New Roman;Times;Serif" w:hAnsi="Times New Roman;Times;Serif"/>
          <w:b w:val="false"/>
          <w:i w:val="false"/>
          <w:caps w:val="false"/>
          <w:smallCaps w:val="false"/>
          <w:sz w:val="20"/>
        </w:rPr>
        <w:t xml:space="preserve">10,000,000 of Common Stock to B. Riley Principal Capital II, subject to certain conditions and limitations contained in the B. Riley Purchase Agreement, from time to time during the term of the B. Riley Purchase Agreement. Sales of Common Stock pursuant to the B. Riley Purchase Agreement, and the timing of any sales, are solely at the option of the Company. The Company is under no obligation to sell any securities to B. Riley Principal Capital II under the B. Riley Purchase Agreement. As of the date of this filing, the Company has issued </w:t>
      </w:r>
      <w:bookmarkStart w:id="327" w:name="xdx_908_eus-gaap--StockIssuedDuringPerio"/>
      <w:bookmarkEnd w:id="327"/>
      <w:r>
        <w:rPr>
          <w:rFonts w:ascii="Times New Roman;Times;Serif" w:hAnsi="Times New Roman;Times;Serif"/>
          <w:b w:val="false"/>
          <w:i w:val="false"/>
          <w:caps w:val="false"/>
          <w:smallCaps w:val="false"/>
          <w:sz w:val="20"/>
        </w:rPr>
        <w:t>505,866 shares of Common Stock aggregating to net proceeds of $</w:t>
      </w:r>
      <w:bookmarkStart w:id="328" w:name="xdx_905_eus-gaap--ProceedsFromIssuanceIn"/>
      <w:bookmarkEnd w:id="328"/>
      <w:r>
        <w:rPr>
          <w:rFonts w:ascii="Times New Roman;Times;Serif" w:hAnsi="Times New Roman;Times;Serif"/>
          <w:b w:val="false"/>
          <w:i w:val="false"/>
          <w:caps w:val="false"/>
          <w:smallCaps w:val="false"/>
          <w:sz w:val="20"/>
        </w:rPr>
        <w:t>1,310,904 under this arrangement (See Note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Company entered into an At Market Issuance Sales Agreement (the “</w:t>
      </w:r>
      <w:r>
        <w:rPr>
          <w:rFonts w:ascii="Times New Roman;Times;Serif" w:hAnsi="Times New Roman;Times;Serif"/>
          <w:b/>
          <w:i w:val="false"/>
          <w:caps w:val="false"/>
          <w:smallCaps w:val="false"/>
          <w:sz w:val="20"/>
        </w:rPr>
        <w:t>Sales Agreement</w:t>
      </w:r>
      <w:r>
        <w:rPr>
          <w:rFonts w:ascii="Times New Roman;Times;Serif" w:hAnsi="Times New Roman;Times;Serif"/>
          <w:b w:val="false"/>
          <w:i w:val="false"/>
          <w:caps w:val="false"/>
          <w:smallCaps w:val="false"/>
          <w:sz w:val="20"/>
        </w:rPr>
        <w:t>”) with B. Riley Securities, Inc.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Pursuant to the terms of the Sales Agreement, the Company may sell from time to time through the Agent, shares of the Company’s common stock, par value $</w:t>
      </w:r>
      <w:bookmarkStart w:id="329" w:name="xdx_90B_eus-gaap--CommonStockParOrStated"/>
      <w:bookmarkEnd w:id="329"/>
      <w:r>
        <w:rPr>
          <w:rFonts w:ascii="Times New Roman;Times;Serif" w:hAnsi="Times New Roman;Times;Serif"/>
          <w:b w:val="false"/>
          <w:i w:val="false"/>
          <w:caps w:val="false"/>
          <w:smallCaps w:val="false"/>
          <w:sz w:val="20"/>
        </w:rPr>
        <w:t>0.0001 per share (the “</w:t>
      </w:r>
      <w:r>
        <w:rPr>
          <w:rFonts w:ascii="Times New Roman;Times;Serif" w:hAnsi="Times New Roman;Times;Serif"/>
          <w:b/>
          <w:i w:val="false"/>
          <w:caps w:val="false"/>
          <w:smallCaps w:val="false"/>
          <w:sz w:val="20"/>
        </w:rPr>
        <w:t>Placement Shares</w:t>
      </w:r>
      <w:r>
        <w:rPr>
          <w:rFonts w:ascii="Times New Roman;Times;Serif" w:hAnsi="Times New Roman;Times;Serif"/>
          <w:b w:val="false"/>
          <w:i w:val="false"/>
          <w:caps w:val="false"/>
          <w:smallCaps w:val="false"/>
          <w:sz w:val="20"/>
        </w:rPr>
        <w:t>”), having an aggregate offering price of up to $</w:t>
      </w:r>
      <w:bookmarkStart w:id="330" w:name="xdx_90A_eus-gaap--ProceedsFromIssuanceOf"/>
      <w:bookmarkEnd w:id="330"/>
      <w:r>
        <w:rPr>
          <w:rFonts w:ascii="Times New Roman;Times;Serif" w:hAnsi="Times New Roman;Times;Serif"/>
          <w:b w:val="false"/>
          <w:i w:val="false"/>
          <w:caps w:val="false"/>
          <w:smallCaps w:val="false"/>
          <w:sz w:val="20"/>
        </w:rPr>
        <w:t>5,000,000 (the “</w:t>
      </w:r>
      <w:r>
        <w:rPr>
          <w:rFonts w:ascii="Times New Roman;Times;Serif" w:hAnsi="Times New Roman;Times;Serif"/>
          <w:b/>
          <w:i w:val="false"/>
          <w:caps w:val="false"/>
          <w:smallCaps w:val="false"/>
          <w:sz w:val="20"/>
        </w:rPr>
        <w:t>ATM Offering</w:t>
      </w:r>
      <w:r>
        <w:rPr>
          <w:rFonts w:ascii="Times New Roman;Times;Serif" w:hAnsi="Times New Roman;Times;Serif"/>
          <w:b w:val="false"/>
          <w:i w:val="false"/>
          <w:caps w:val="false"/>
          <w:smallCaps w:val="false"/>
          <w:sz w:val="20"/>
        </w:rPr>
        <w:t xml:space="preserve">”). The Company intends to use this facility to raise capital as needed. As of the date of this filing, the Company has issued </w:t>
      </w:r>
      <w:bookmarkStart w:id="331" w:name="xdx_902_eus-gaap--StockIssuedDuringPerio"/>
      <w:bookmarkEnd w:id="331"/>
      <w:r>
        <w:rPr>
          <w:rFonts w:ascii="Times New Roman;Times;Serif" w:hAnsi="Times New Roman;Times;Serif"/>
          <w:b w:val="false"/>
          <w:i w:val="false"/>
          <w:caps w:val="false"/>
          <w:smallCaps w:val="false"/>
          <w:sz w:val="20"/>
        </w:rPr>
        <w:t>2,159,867 Placement shares of Common Stock aggregating to net proceeds of $</w:t>
      </w:r>
      <w:bookmarkStart w:id="332" w:name="xdx_905_eus-gaap--ProceedsFromIssuanceIn"/>
      <w:bookmarkEnd w:id="332"/>
      <w:r>
        <w:rPr>
          <w:rFonts w:ascii="Times New Roman;Times;Serif" w:hAnsi="Times New Roman;Times;Serif"/>
          <w:b w:val="false"/>
          <w:i w:val="false"/>
          <w:caps w:val="false"/>
          <w:smallCaps w:val="false"/>
          <w:sz w:val="20"/>
        </w:rPr>
        <w:t>3,112,021 under this arrangement (See Note 4).</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on which these unaudited condensed consolidated financial statements were available to be issued, the Company believes that the cash on hand, and additional investments available through issuance of new Common Stock, will be inadequate to satisfy the Company’s working capital and capital expenditure requirements for at least the next twelve months. The ability of the Company to continue as a going concern is dependent upon management’s plan to raise additional capital from issuance of equity or receive additional borrowings to fund the Company’s operating and investing activities over the next year. These unaudited condensed consolidated financial statements do not include any adjustments to the recoverability and classification of recorded asset amounts and classification of liabilities that might be necessary should the Company be unable to continue as a going concern.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applied in the Company’s audited consolidated financial statements as of and for the year ended December 31, 2025, as disclosed in the Company’s Annual Report on Form 10-K filed with the SEC on March 25, 2026, are applied consistently in these unaudited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3" w:name="xdx_864_zUb98VYLEdOj"/>
      <w:bookmarkStart w:id="334" w:name="xdx_843_eus-gaap--EarningsPerSharePolicy"/>
      <w:bookmarkEnd w:id="333"/>
      <w:bookmarkEnd w:id="334"/>
      <w:r>
        <w:rPr>
          <w:rFonts w:ascii="Times New Roman;Times;Serif" w:hAnsi="Times New Roman;Times;Serif"/>
          <w:b/>
          <w:i/>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Accounting Standard Codification (“</w:t>
      </w:r>
      <w:r>
        <w:rPr>
          <w:rFonts w:ascii="Times New Roman;Times;Serif" w:hAnsi="Times New Roman;Times;Serif"/>
          <w:b/>
          <w:i w:val="false"/>
          <w:caps w:val="false"/>
          <w:smallCaps w:val="false"/>
          <w:sz w:val="20"/>
        </w:rPr>
        <w:t>ASC</w:t>
      </w:r>
      <w:r>
        <w:rPr>
          <w:rFonts w:ascii="Times New Roman;Times;Serif" w:hAnsi="Times New Roman;Times;Serif"/>
          <w:b w:val="false"/>
          <w:i w:val="false"/>
          <w:caps w:val="false"/>
          <w:smallCaps w:val="false"/>
          <w:sz w:val="20"/>
        </w:rPr>
        <w:t>”)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at its inception. Basic net loss per share is calculated by dividing the net loss by the weighted average number of Common Stock outstanding for the period. Diluted loss per share is calculated by dividing the Company’s net loss available to common stockholders by the diluted weighted average number of shares outstanding for the period. The diluted weighted average number of shares outstanding is the basic weighted number of shares adjusted as at the first of the year for any potentially dilutive debt or equity. Potential common stock from unvested restricted stock options, earnouts and common stock warrants are computed using the treasury stock method. Contingently issuable shares are included in basic EPS only when there is no circumstance under which those shares would not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5" w:name="xdx_896_eus-gaap--ScheduleOfEarningsPerS"/>
      <w:bookmarkEnd w:id="335"/>
      <w:r>
        <w:rPr>
          <w:rFonts w:ascii="Times New Roman;Times;Serif" w:hAnsi="Times New Roman;Times;Serif"/>
          <w:b w:val="false"/>
          <w:i w:val="false"/>
          <w:caps w:val="false"/>
          <w:smallCaps w:val="false"/>
          <w:sz w:val="20"/>
        </w:rPr>
        <w:t>The following table sets forth the computation of the basic and diluted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6" w:name="xdx_8B9_z9smzPTTy5ed"/>
      <w:bookmarkEnd w:id="336"/>
      <w:r>
        <w:rPr>
          <w:rFonts w:ascii="Times New Roman;Times;Serif" w:hAnsi="Times New Roman;Times;Serif"/>
          <w:b w:val="false"/>
          <w:i w:val="false"/>
          <w:caps w:val="false"/>
          <w:smallCaps w:val="false"/>
          <w:sz w:val="20"/>
        </w:rPr>
        <w:t>SCHEDULE OF BASIC AND DILUTED NET LOSS PER SHARE</w:t>
      </w:r>
    </w:p>
    <w:tbl>
      <w:tblPr>
        <w:tblW w:w="9836" w:type="dxa"/>
        <w:jc w:val="left"/>
        <w:tblInd w:w="0" w:type="dxa"/>
        <w:tblLayout w:type="fixed"/>
        <w:tblCellMar>
          <w:top w:w="0" w:type="dxa"/>
          <w:left w:w="0" w:type="dxa"/>
          <w:bottom w:w="0" w:type="dxa"/>
          <w:right w:w="0" w:type="dxa"/>
        </w:tblCellMar>
      </w:tblPr>
      <w:tblGrid>
        <w:gridCol w:w="3545"/>
        <w:gridCol w:w="60"/>
        <w:gridCol w:w="159"/>
        <w:gridCol w:w="1255"/>
        <w:gridCol w:w="95"/>
        <w:gridCol w:w="60"/>
        <w:gridCol w:w="165"/>
        <w:gridCol w:w="1249"/>
        <w:gridCol w:w="95"/>
        <w:gridCol w:w="60"/>
        <w:gridCol w:w="159"/>
        <w:gridCol w:w="1255"/>
        <w:gridCol w:w="95"/>
        <w:gridCol w:w="60"/>
        <w:gridCol w:w="165"/>
        <w:gridCol w:w="1249"/>
        <w:gridCol w:w="110"/>
      </w:tblGrid>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37" w:name="xdx_499_20260401__20260630_zm2S74p5xDU9"/>
            <w:bookmarkEnd w:id="337"/>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38" w:name="xdx_49F_20250401__20250630_z23eq6f2plo8"/>
            <w:bookmarkEnd w:id="338"/>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39" w:name="xdx_496_20260101__20260630_zZQpUT2HgT97"/>
            <w:bookmarkEnd w:id="339"/>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40" w:name="xdx_491_20250101__20250630_zzgHeq4lLaxb"/>
            <w:bookmarkEnd w:id="340"/>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10" w:type="dxa"/>
            <w:tcBorders/>
            <w:vAlign w:val="center"/>
          </w:tcPr>
          <w:p>
            <w:pPr>
              <w:pStyle w:val="TableContents"/>
              <w:bidi w:val="0"/>
              <w:spacing w:before="0" w:after="283"/>
              <w:jc w:val="center"/>
              <w:rPr/>
            </w:pPr>
            <w:r>
              <w:rPr/>
              <w:t> </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center"/>
              <w:rPr/>
            </w:pPr>
            <w:r>
              <w:rPr/>
              <w:t> </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10" w:type="dxa"/>
            <w:tcBorders/>
            <w:vAlign w:val="center"/>
          </w:tcPr>
          <w:p>
            <w:pPr>
              <w:pStyle w:val="TableContents"/>
              <w:bidi w:val="0"/>
              <w:spacing w:before="0" w:after="283"/>
              <w:jc w:val="center"/>
              <w:rPr/>
            </w:pPr>
            <w:r>
              <w:rPr/>
              <w:t> </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3545"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41" w:name="xdx_401_eus-gaap--NetIncomeLoss_zseUXPfV"/>
            <w:bookmarkEnd w:id="341"/>
          </w:p>
        </w:tc>
      </w:tr>
      <w:tr>
        <w:trPr/>
        <w:tc>
          <w:tcPr>
            <w:tcW w:w="354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(3,902,894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6" w:space="0" w:color="000000"/>
            </w:tcBorders>
            <w:shd w:fill="FFFFFF" w:val="clear"/>
            <w:tcMar>
              <w:bottom w:w="28" w:type="dxa"/>
            </w:tcMar>
            <w:vAlign w:val="center"/>
          </w:tcPr>
          <w:p>
            <w:pPr>
              <w:pStyle w:val="TableContents"/>
              <w:bidi w:val="0"/>
              <w:spacing w:before="0" w:after="283"/>
              <w:jc w:val="right"/>
              <w:rPr/>
            </w:pPr>
            <w:r>
              <w:rPr/>
              <w:t>(3,704,438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(9,137,586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6" w:space="0" w:color="000000"/>
            </w:tcBorders>
            <w:shd w:fill="FFFFFF" w:val="clear"/>
            <w:tcMar>
              <w:bottom w:w="28" w:type="dxa"/>
            </w:tcMar>
            <w:vAlign w:val="center"/>
          </w:tcPr>
          <w:p>
            <w:pPr>
              <w:pStyle w:val="TableContents"/>
              <w:bidi w:val="0"/>
              <w:spacing w:before="0" w:after="283"/>
              <w:jc w:val="right"/>
              <w:rPr/>
            </w:pPr>
            <w:r>
              <w:rPr/>
              <w:t>(7,514,138</w:t>
            </w:r>
          </w:p>
        </w:tc>
        <w:tc>
          <w:tcPr>
            <w:tcW w:w="110" w:type="dxa"/>
            <w:tcBorders/>
            <w:shd w:fill="FFFFFF" w:val="clear"/>
            <w:vAlign w:val="center"/>
          </w:tcPr>
          <w:p>
            <w:pPr>
              <w:pStyle w:val="TableContents"/>
              <w:bidi w:val="0"/>
              <w:spacing w:before="0" w:after="283"/>
              <w:jc w:val="left"/>
              <w:rPr/>
            </w:pPr>
            <w:r>
              <w:rPr/>
              <w:t>)</w:t>
            </w:r>
          </w:p>
        </w:tc>
      </w:tr>
      <w:tr>
        <w:trPr/>
        <w:tc>
          <w:tcPr>
            <w:tcW w:w="3545" w:type="dxa"/>
            <w:tcBorders/>
            <w:shd w:fill="CCEEFF" w:val="clear"/>
            <w:vAlign w:val="center"/>
          </w:tcPr>
          <w:p>
            <w:pPr>
              <w:pStyle w:val="TableContents"/>
              <w:bidi w:val="0"/>
              <w:spacing w:before="0" w:after="283"/>
              <w:jc w:val="left"/>
              <w:rPr>
                <w:b/>
              </w:rPr>
            </w:pPr>
            <w:r>
              <w:rPr>
                <w:b/>
              </w:rPr>
              <w:t>Denominator:</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42" w:name="xdx_909_eus-gaap--WeightedAverageNumberO"/>
            <w:bookmarkStart w:id="343" w:name="xdx_90D_eus-gaap--WeightedAverageNumberO"/>
            <w:bookmarkEnd w:id="342"/>
            <w:bookmarkEnd w:id="343"/>
            <w:r>
              <w:rPr/>
              <w:t>11,063,807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44" w:name="xdx_900_eus-gaap--WeightedAverageNumberO"/>
            <w:bookmarkStart w:id="345" w:name="xdx_900_eus-gaap--WeightedAverageNumberO"/>
            <w:bookmarkEnd w:id="344"/>
            <w:bookmarkEnd w:id="345"/>
            <w:r>
              <w:rPr/>
              <w:t>6,319,817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46" w:name="xdx_906_eus-gaap--WeightedAverageNumberO"/>
            <w:bookmarkStart w:id="347" w:name="xdx_908_eus-gaap--WeightedAverageNumberO"/>
            <w:bookmarkEnd w:id="346"/>
            <w:bookmarkEnd w:id="347"/>
            <w:r>
              <w:rPr/>
              <w:t>10,492,494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48" w:name="xdx_90D_eus-gaap--WeightedAverageNumberO"/>
            <w:bookmarkStart w:id="349" w:name="xdx_90D_eus-gaap--WeightedAverageNumberO"/>
            <w:bookmarkEnd w:id="348"/>
            <w:bookmarkEnd w:id="349"/>
            <w:r>
              <w:rPr/>
              <w:t>5,811,684</w:t>
            </w:r>
          </w:p>
        </w:tc>
        <w:tc>
          <w:tcPr>
            <w:tcW w:w="11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Net loss per share, basic and diluted</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50" w:name="xdx_905_eus-gaap--EarningsPerShareDilute"/>
            <w:bookmarkStart w:id="351" w:name="xdx_90C_eus-gaap--EarningsPerShareBasic_"/>
            <w:bookmarkEnd w:id="350"/>
            <w:bookmarkEnd w:id="351"/>
            <w:r>
              <w:rPr/>
              <w:t>(0.35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52" w:name="xdx_901_eus-gaap--EarningsPerShareDilute"/>
            <w:bookmarkStart w:id="353" w:name="xdx_90B_eus-gaap--EarningsPerShareBasic_"/>
            <w:bookmarkEnd w:id="352"/>
            <w:bookmarkEnd w:id="353"/>
            <w:r>
              <w:rPr/>
              <w:t>(0.59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54" w:name="xdx_902_eus-gaap--EarningsPerShareDilute"/>
            <w:bookmarkStart w:id="355" w:name="xdx_909_eus-gaap--EarningsPerShareBasic_"/>
            <w:bookmarkEnd w:id="354"/>
            <w:bookmarkEnd w:id="355"/>
            <w:r>
              <w:rPr/>
              <w:t>(0.87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56" w:name="xdx_906_eus-gaap--EarningsPerShareDilute"/>
            <w:bookmarkStart w:id="357" w:name="xdx_90D_eus-gaap--EarningsPerShareBasic_"/>
            <w:bookmarkEnd w:id="356"/>
            <w:bookmarkEnd w:id="357"/>
            <w:r>
              <w:rPr/>
              <w:t>(1.29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58" w:name="xdx_8AF_zTlAlQgebnO1"/>
      <w:bookmarkEnd w:id="35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9" w:name="xdx_895_eus-gaap--ScheduleOfAntidilutive"/>
      <w:bookmarkEnd w:id="359"/>
      <w:r>
        <w:rPr>
          <w:rFonts w:ascii="Times New Roman;Times;Serif" w:hAnsi="Times New Roman;Times;Serif"/>
          <w:b w:val="false"/>
          <w:i w:val="false"/>
          <w:caps w:val="false"/>
          <w:smallCaps w:val="false"/>
          <w:sz w:val="20"/>
        </w:rPr>
        <w:t>The following potentially dilutive shares were excluded from the computation of diluted net loss per share attributable to common stockholders for the periods presented, because including them would have had an anti-dilutive effect: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0" w:name="xdx_8B5_zLIJjXEJBF2a"/>
      <w:bookmarkEnd w:id="360"/>
      <w:r>
        <w:rPr>
          <w:rFonts w:ascii="Times New Roman;Times;Serif" w:hAnsi="Times New Roman;Times;Serif"/>
          <w:b w:val="false"/>
          <w:i w:val="false"/>
          <w:caps w:val="false"/>
          <w:smallCaps w:val="false"/>
          <w:sz w:val="20"/>
        </w:rPr>
        <w:t>SCHEDULE OF ANTI-DILUTIVE EFFECT </w:t>
      </w:r>
    </w:p>
    <w:tbl>
      <w:tblPr>
        <w:tblW w:w="6373" w:type="dxa"/>
        <w:jc w:val="left"/>
        <w:tblInd w:w="0" w:type="dxa"/>
        <w:tblLayout w:type="fixed"/>
        <w:tblCellMar>
          <w:top w:w="0" w:type="dxa"/>
          <w:left w:w="0" w:type="dxa"/>
          <w:bottom w:w="0" w:type="dxa"/>
          <w:right w:w="0" w:type="dxa"/>
        </w:tblCellMar>
      </w:tblPr>
      <w:tblGrid>
        <w:gridCol w:w="3290"/>
        <w:gridCol w:w="60"/>
        <w:gridCol w:w="98"/>
        <w:gridCol w:w="1316"/>
        <w:gridCol w:w="60"/>
        <w:gridCol w:w="60"/>
        <w:gridCol w:w="98"/>
        <w:gridCol w:w="1316"/>
        <w:gridCol w:w="75"/>
      </w:tblGrid>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1" w:name="xdx_496_20260101__20260630_zAgBlVrrs3S4"/>
            <w:bookmarkEnd w:id="361"/>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2" w:name="xdx_491_20250101__20250630_zYIg5SVyuar1"/>
            <w:bookmarkEnd w:id="362"/>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75" w:type="dxa"/>
            <w:tcBorders/>
            <w:vAlign w:val="center"/>
          </w:tcPr>
          <w:p>
            <w:pPr>
              <w:pStyle w:val="TableContents"/>
              <w:bidi w:val="0"/>
              <w:spacing w:before="0" w:after="283"/>
              <w:jc w:val="center"/>
              <w:rPr/>
            </w:pPr>
            <w:r>
              <w:rPr/>
              <w:t> </w:t>
            </w:r>
            <w:bookmarkStart w:id="363" w:name="xdx_40F_eus-gaap--AntidilutiveSecurities"/>
            <w:bookmarkEnd w:id="363"/>
          </w:p>
        </w:tc>
      </w:tr>
      <w:tr>
        <w:trPr/>
        <w:tc>
          <w:tcPr>
            <w:tcW w:w="3290" w:type="dxa"/>
            <w:tcBorders/>
            <w:shd w:fill="CCEEFF" w:val="clear"/>
            <w:vAlign w:val="center"/>
          </w:tcPr>
          <w:p>
            <w:pPr>
              <w:pStyle w:val="TableContents"/>
              <w:bidi w:val="0"/>
              <w:spacing w:before="0" w:after="283"/>
              <w:jc w:val="left"/>
              <w:rPr/>
            </w:pPr>
            <w:r>
              <w:rPr/>
              <w:t>Restricted Stock options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16,923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36,195</w:t>
            </w:r>
          </w:p>
        </w:tc>
        <w:tc>
          <w:tcPr>
            <w:tcW w:w="75" w:type="dxa"/>
            <w:tcBorders/>
            <w:shd w:fill="CCEEFF" w:val="clear"/>
            <w:vAlign w:val="center"/>
          </w:tcPr>
          <w:p>
            <w:pPr>
              <w:pStyle w:val="TableContents"/>
              <w:bidi w:val="0"/>
              <w:spacing w:before="0" w:after="283"/>
              <w:jc w:val="left"/>
              <w:rPr/>
            </w:pPr>
            <w:r>
              <w:rPr/>
              <w:t> </w:t>
            </w:r>
            <w:bookmarkStart w:id="364" w:name="xdx_403_eus-gaap--AntidilutiveSecurities"/>
            <w:bookmarkEnd w:id="364"/>
          </w:p>
        </w:tc>
      </w:tr>
      <w:tr>
        <w:trPr/>
        <w:tc>
          <w:tcPr>
            <w:tcW w:w="3290"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99,680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168,603</w:t>
            </w:r>
          </w:p>
        </w:tc>
        <w:tc>
          <w:tcPr>
            <w:tcW w:w="75" w:type="dxa"/>
            <w:tcBorders/>
            <w:shd w:fill="FFFFFF" w:val="clear"/>
            <w:vAlign w:val="center"/>
          </w:tcPr>
          <w:p>
            <w:pPr>
              <w:pStyle w:val="TableContents"/>
              <w:bidi w:val="0"/>
              <w:spacing w:before="0" w:after="283"/>
              <w:jc w:val="left"/>
              <w:rPr/>
            </w:pPr>
            <w:r>
              <w:rPr/>
              <w:t> </w:t>
            </w:r>
            <w:bookmarkStart w:id="365" w:name="xdx_404_eus-gaap--AntidilutiveSecurities"/>
            <w:bookmarkEnd w:id="365"/>
          </w:p>
        </w:tc>
      </w:tr>
      <w:tr>
        <w:trPr/>
        <w:tc>
          <w:tcPr>
            <w:tcW w:w="3290" w:type="dxa"/>
            <w:tcBorders/>
            <w:shd w:fill="CCEEFF" w:val="clear"/>
            <w:vAlign w:val="center"/>
          </w:tcPr>
          <w:p>
            <w:pPr>
              <w:pStyle w:val="TableContents"/>
              <w:bidi w:val="0"/>
              <w:spacing w:before="0" w:after="283"/>
              <w:jc w:val="left"/>
              <w:rPr/>
            </w:pPr>
            <w:r>
              <w:rPr/>
              <w:t>Performance Stock units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50,658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50,658</w:t>
            </w:r>
          </w:p>
        </w:tc>
        <w:tc>
          <w:tcPr>
            <w:tcW w:w="75" w:type="dxa"/>
            <w:tcBorders/>
            <w:shd w:fill="CCEEFF" w:val="clear"/>
            <w:vAlign w:val="center"/>
          </w:tcPr>
          <w:p>
            <w:pPr>
              <w:pStyle w:val="TableContents"/>
              <w:bidi w:val="0"/>
              <w:spacing w:before="0" w:after="283"/>
              <w:jc w:val="left"/>
              <w:rPr/>
            </w:pPr>
            <w:r>
              <w:rPr/>
              <w:t> </w:t>
            </w:r>
            <w:bookmarkStart w:id="366" w:name="xdx_40F_eus-gaap--AntidilutiveSecurities"/>
            <w:bookmarkEnd w:id="366"/>
          </w:p>
        </w:tc>
      </w:tr>
      <w:tr>
        <w:trPr/>
        <w:tc>
          <w:tcPr>
            <w:tcW w:w="3290" w:type="dxa"/>
            <w:tcBorders/>
            <w:shd w:fill="FFFFFF" w:val="clear"/>
            <w:vAlign w:val="center"/>
          </w:tcPr>
          <w:p>
            <w:pPr>
              <w:pStyle w:val="TableContents"/>
              <w:bidi w:val="0"/>
              <w:spacing w:before="0" w:after="283"/>
              <w:jc w:val="left"/>
              <w:rPr/>
            </w:pPr>
            <w:r>
              <w:rPr/>
              <w:t>Sponsor Earnout Shares (Note 4)</w:t>
            </w:r>
            <w:bookmarkStart w:id="367" w:name="xdx_F4C_zt5cb4kFf9Ca"/>
            <w:bookmarkEnd w:id="367"/>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68" w:name="xdx_403_eus-gaap--AntidilutiveSecurities"/>
            <w:bookmarkEnd w:id="368"/>
          </w:p>
        </w:tc>
      </w:tr>
      <w:tr>
        <w:trPr/>
        <w:tc>
          <w:tcPr>
            <w:tcW w:w="3290" w:type="dxa"/>
            <w:tcBorders/>
            <w:shd w:fill="CCEEFF" w:val="clear"/>
            <w:vAlign w:val="center"/>
          </w:tcPr>
          <w:p>
            <w:pPr>
              <w:pStyle w:val="TableContents"/>
              <w:bidi w:val="0"/>
              <w:spacing w:before="0" w:after="283"/>
              <w:jc w:val="left"/>
              <w:rPr/>
            </w:pPr>
            <w:r>
              <w:rPr/>
              <w:t>Public warrants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486,413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486,413</w:t>
            </w:r>
          </w:p>
        </w:tc>
        <w:tc>
          <w:tcPr>
            <w:tcW w:w="75" w:type="dxa"/>
            <w:tcBorders/>
            <w:shd w:fill="CCEEFF" w:val="clear"/>
            <w:vAlign w:val="center"/>
          </w:tcPr>
          <w:p>
            <w:pPr>
              <w:pStyle w:val="TableContents"/>
              <w:bidi w:val="0"/>
              <w:spacing w:before="0" w:after="283"/>
              <w:jc w:val="left"/>
              <w:rPr/>
            </w:pPr>
            <w:r>
              <w:rPr/>
              <w:t> </w:t>
            </w:r>
            <w:bookmarkStart w:id="369" w:name="xdx_402_eus-gaap--AntidilutiveSecurities"/>
            <w:bookmarkEnd w:id="369"/>
          </w:p>
        </w:tc>
      </w:tr>
      <w:tr>
        <w:trPr/>
        <w:tc>
          <w:tcPr>
            <w:tcW w:w="3290" w:type="dxa"/>
            <w:tcBorders/>
            <w:shd w:fill="FFFFFF" w:val="clear"/>
            <w:vAlign w:val="center"/>
          </w:tcPr>
          <w:p>
            <w:pPr>
              <w:pStyle w:val="TableContents"/>
              <w:bidi w:val="0"/>
              <w:spacing w:before="0" w:after="283"/>
              <w:jc w:val="left"/>
              <w:rPr/>
            </w:pPr>
            <w:r>
              <w:rPr/>
              <w:t>Private warrants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556,666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556,666</w:t>
            </w:r>
          </w:p>
        </w:tc>
        <w:tc>
          <w:tcPr>
            <w:tcW w:w="75" w:type="dxa"/>
            <w:tcBorders/>
            <w:shd w:fill="FFFFFF" w:val="clear"/>
            <w:vAlign w:val="center"/>
          </w:tcPr>
          <w:p>
            <w:pPr>
              <w:pStyle w:val="TableContents"/>
              <w:bidi w:val="0"/>
              <w:spacing w:before="0" w:after="283"/>
              <w:jc w:val="left"/>
              <w:rPr/>
            </w:pPr>
            <w:r>
              <w:rPr/>
              <w:t> </w:t>
            </w:r>
            <w:bookmarkStart w:id="370" w:name="xdx_405_eus-gaap--AntidilutiveSecurities"/>
            <w:bookmarkEnd w:id="370"/>
          </w:p>
        </w:tc>
      </w:tr>
      <w:tr>
        <w:trPr/>
        <w:tc>
          <w:tcPr>
            <w:tcW w:w="3290" w:type="dxa"/>
            <w:tcBorders/>
            <w:shd w:fill="CCEEFF" w:val="clear"/>
            <w:vAlign w:val="center"/>
          </w:tcPr>
          <w:p>
            <w:pPr>
              <w:pStyle w:val="TableContents"/>
              <w:bidi w:val="0"/>
              <w:spacing w:before="0" w:after="283"/>
              <w:jc w:val="left"/>
              <w:rPr/>
            </w:pPr>
            <w:r>
              <w:rPr/>
              <w:t>Inducement warrants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958,400</w:t>
            </w:r>
          </w:p>
        </w:tc>
        <w:tc>
          <w:tcPr>
            <w:tcW w:w="75" w:type="dxa"/>
            <w:tcBorders/>
            <w:shd w:fill="CCEEFF" w:val="clear"/>
            <w:vAlign w:val="center"/>
          </w:tcPr>
          <w:p>
            <w:pPr>
              <w:pStyle w:val="TableContents"/>
              <w:bidi w:val="0"/>
              <w:spacing w:before="0" w:after="283"/>
              <w:jc w:val="left"/>
              <w:rPr/>
            </w:pPr>
            <w:r>
              <w:rPr/>
              <w:t> </w:t>
            </w:r>
            <w:bookmarkStart w:id="371" w:name="xdx_40D_eus-gaap--AntidilutiveSecurities"/>
            <w:bookmarkEnd w:id="371"/>
          </w:p>
        </w:tc>
      </w:tr>
      <w:tr>
        <w:trPr/>
        <w:tc>
          <w:tcPr>
            <w:tcW w:w="3290" w:type="dxa"/>
            <w:tcBorders/>
            <w:shd w:fill="FFFFFF" w:val="clear"/>
            <w:vAlign w:val="center"/>
          </w:tcPr>
          <w:p>
            <w:pPr>
              <w:pStyle w:val="TableContents"/>
              <w:bidi w:val="0"/>
              <w:spacing w:before="0" w:after="283"/>
              <w:jc w:val="left"/>
              <w:rPr/>
            </w:pPr>
            <w:r>
              <w:rPr/>
              <w:t>Short term loan warrants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86,591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86,591</w:t>
            </w:r>
          </w:p>
        </w:tc>
        <w:tc>
          <w:tcPr>
            <w:tcW w:w="75" w:type="dxa"/>
            <w:tcBorders/>
            <w:shd w:fill="FFFFFF" w:val="clear"/>
            <w:vAlign w:val="center"/>
          </w:tcPr>
          <w:p>
            <w:pPr>
              <w:pStyle w:val="TableContents"/>
              <w:bidi w:val="0"/>
              <w:spacing w:before="0" w:after="283"/>
              <w:jc w:val="left"/>
              <w:rPr/>
            </w:pPr>
            <w:r>
              <w:rPr/>
              <w:t> </w:t>
            </w:r>
            <w:bookmarkStart w:id="372" w:name="xdx_404_eus-gaap--AntidilutiveSecurities"/>
            <w:bookmarkEnd w:id="372"/>
          </w:p>
        </w:tc>
      </w:tr>
      <w:tr>
        <w:trPr/>
        <w:tc>
          <w:tcPr>
            <w:tcW w:w="3290" w:type="dxa"/>
            <w:tcBorders/>
            <w:shd w:fill="CCEEFF" w:val="clear"/>
            <w:vAlign w:val="center"/>
          </w:tcPr>
          <w:p>
            <w:pPr>
              <w:pStyle w:val="TableContents"/>
              <w:bidi w:val="0"/>
              <w:spacing w:before="0" w:after="283"/>
              <w:jc w:val="left"/>
              <w:rPr/>
            </w:pPr>
            <w:r>
              <w:rPr/>
              <w:t>Private placement warrants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6,425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6,425</w:t>
            </w:r>
          </w:p>
        </w:tc>
        <w:tc>
          <w:tcPr>
            <w:tcW w:w="75" w:type="dxa"/>
            <w:tcBorders/>
            <w:shd w:fill="CCEEFF" w:val="clear"/>
            <w:vAlign w:val="center"/>
          </w:tcPr>
          <w:p>
            <w:pPr>
              <w:pStyle w:val="TableContents"/>
              <w:bidi w:val="0"/>
              <w:spacing w:before="0" w:after="283"/>
              <w:jc w:val="left"/>
              <w:rPr/>
            </w:pPr>
            <w:r>
              <w:rPr/>
              <w:t> </w:t>
            </w:r>
            <w:bookmarkStart w:id="373" w:name="xdx_405_eus-gaap--AntidilutiveSecurities"/>
            <w:bookmarkEnd w:id="373"/>
          </w:p>
        </w:tc>
      </w:tr>
      <w:tr>
        <w:trPr/>
        <w:tc>
          <w:tcPr>
            <w:tcW w:w="3290" w:type="dxa"/>
            <w:tcBorders/>
            <w:shd w:fill="FFFFFF" w:val="clear"/>
            <w:vAlign w:val="center"/>
          </w:tcPr>
          <w:p>
            <w:pPr>
              <w:pStyle w:val="TableContents"/>
              <w:bidi w:val="0"/>
              <w:spacing w:before="0" w:after="283"/>
              <w:jc w:val="left"/>
              <w:rPr/>
            </w:pPr>
            <w:r>
              <w:rPr/>
              <w:t>2025 Convertible notes shares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698,989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74" w:name="xdx_400_eus-gaap--AntidilutiveSecurities"/>
            <w:bookmarkEnd w:id="374"/>
          </w:p>
        </w:tc>
      </w:tr>
      <w:tr>
        <w:trPr/>
        <w:tc>
          <w:tcPr>
            <w:tcW w:w="3290" w:type="dxa"/>
            <w:tcBorders/>
            <w:shd w:fill="CCEEFF" w:val="clear"/>
            <w:vAlign w:val="center"/>
          </w:tcPr>
          <w:p>
            <w:pPr>
              <w:pStyle w:val="TableContents"/>
              <w:bidi w:val="0"/>
              <w:spacing w:before="0" w:after="283"/>
              <w:jc w:val="left"/>
              <w:rPr/>
            </w:pPr>
            <w:r>
              <w:rPr/>
              <w:t>2025 Convertible notes warrants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411,245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75" w:name="xdx_40B_eus-gaap--AntidilutiveSecurities"/>
            <w:bookmarkEnd w:id="375"/>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Potentially dilutive shares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411,245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76" w:name="xdx_F0F_zV8LY7YahjZ8"/>
            <w:bookmarkEnd w:id="376"/>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77" w:name="xdx_F12_zUgQkiIWSY7k"/>
            <w:bookmarkEnd w:id="377"/>
            <w:r>
              <w:rPr>
                <w:rFonts w:ascii="Times New Roman;Times;Serif" w:hAnsi="Times New Roman;Times;Serif"/>
                <w:b w:val="false"/>
                <w:i w:val="false"/>
                <w:caps w:val="false"/>
                <w:smallCaps w:val="false"/>
                <w:sz w:val="20"/>
              </w:rPr>
              <w:t>The Sponsor Earnout Shares (as defined in the Business Combination Agreement) were not included for purposes of calculating the number of diluted shares outstanding as of June 30, 2026, as the Sponsor Earnout Shares remain contingently forfeitable, as the conditions have not been met.</w:t>
            </w:r>
          </w:p>
        </w:tc>
      </w:tr>
    </w:tbl>
    <w:p>
      <w:pPr>
        <w:pStyle w:val="TextBody"/>
        <w:bidi w:val="0"/>
        <w:spacing w:before="0" w:after="0"/>
        <w:ind w:left="0" w:right="0" w:hanging="0"/>
        <w:jc w:val="center"/>
        <w:rPr>
          <w:caps w:val="false"/>
          <w:smallCaps w:val="false"/>
        </w:rPr>
      </w:pPr>
      <w:bookmarkStart w:id="378" w:name="xdx_8A9_zokBsFkNKxBc"/>
      <w:bookmarkEnd w:id="378"/>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9" w:name="xdx_865_z33jeAaL7UDd"/>
      <w:bookmarkStart w:id="380" w:name="xdx_84A_ecustom--DebtIssuanceCostsPolicy"/>
      <w:bookmarkEnd w:id="379"/>
      <w:bookmarkEnd w:id="380"/>
      <w:r>
        <w:rPr>
          <w:rFonts w:ascii="Times New Roman;Times;Serif" w:hAnsi="Times New Roman;Times;Serif"/>
          <w:b/>
          <w:i/>
          <w:caps w:val="false"/>
          <w:smallCaps w:val="false"/>
          <w:sz w:val="20"/>
        </w:rPr>
        <w:t>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consist of expenditures associated with obtaining debt financing, principally legal and commitment fees. Such costs are deferred and amortized over the term of the related credit arrangements using a method that approximates the effective interest method. Debt issuance costs are included in the unaudited condensed consolidated balance sheets as a direct deduction from the carrying amount of long-term debt and are included in Interest expense in the unaudited condensed consolidated statements of operations. The payment of debt issuance costs will be recorded under financing activities in the unaudited condensed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1" w:name="xdx_860_zhmMzgbV3VBc"/>
      <w:bookmarkStart w:id="382" w:name="xdx_84F_ecustom--CapitalProjectCostsAndP"/>
      <w:bookmarkEnd w:id="381"/>
      <w:bookmarkEnd w:id="382"/>
      <w:r>
        <w:rPr>
          <w:rFonts w:ascii="Times New Roman;Times;Serif" w:hAnsi="Times New Roman;Times;Serif"/>
          <w:b/>
          <w:i/>
          <w:caps w:val="false"/>
          <w:smallCaps w:val="false"/>
          <w:sz w:val="20"/>
        </w:rPr>
        <w:t>Capital Project Costs and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costs incurred in connection with the development and construction of its planned lithium refinery in Muskogee, Oklahoma (the “</w:t>
      </w:r>
      <w:r>
        <w:rPr>
          <w:rFonts w:ascii="Times New Roman;Times;Serif" w:hAnsi="Times New Roman;Times;Serif"/>
          <w:b/>
          <w:i w:val="false"/>
          <w:caps w:val="false"/>
          <w:smallCaps w:val="false"/>
          <w:sz w:val="20"/>
        </w:rPr>
        <w:t>Facility</w:t>
      </w:r>
      <w:r>
        <w:rPr>
          <w:rFonts w:ascii="Times New Roman;Times;Serif" w:hAnsi="Times New Roman;Times;Serif"/>
          <w:b w:val="false"/>
          <w:i w:val="false"/>
          <w:caps w:val="false"/>
          <w:smallCaps w:val="false"/>
          <w:sz w:val="20"/>
        </w:rPr>
        <w:t xml:space="preserve">”), in accordance with </w:t>
      </w:r>
      <w:r>
        <w:rPr>
          <w:rFonts w:ascii="Times New Roman;Times;Serif" w:hAnsi="Times New Roman;Times;Serif"/>
          <w:b/>
          <w:i w:val="false"/>
          <w:caps w:val="false"/>
          <w:smallCaps w:val="false"/>
          <w:sz w:val="20"/>
        </w:rPr>
        <w:t xml:space="preserve">ASC 360, </w:t>
      </w:r>
      <w:r>
        <w:rPr>
          <w:rFonts w:ascii="Times New Roman;Times;Serif" w:hAnsi="Times New Roman;Times;Serif"/>
          <w:b/>
          <w:i/>
          <w:caps w:val="false"/>
          <w:smallCaps w:val="false"/>
          <w:sz w:val="20"/>
        </w:rPr>
        <w:t>Property, Plant, and Equipment</w:t>
      </w:r>
      <w:r>
        <w:rPr>
          <w:rFonts w:ascii="Times New Roman;Times;Serif" w:hAnsi="Times New Roman;Times;Serif"/>
          <w:b w:val="false"/>
          <w:i w:val="false"/>
          <w:caps w:val="false"/>
          <w:smallCaps w:val="false"/>
          <w:sz w:val="20"/>
        </w:rPr>
        <w:t>. Capitalized costs include expenditures that are directly attributable to the acquisition, development, and construction of the Facility, including land acquisition costs, permitting costs, engineering, front-end loading (“</w:t>
      </w:r>
      <w:r>
        <w:rPr>
          <w:rFonts w:ascii="Times New Roman;Times;Serif" w:hAnsi="Times New Roman;Times;Serif"/>
          <w:b/>
          <w:i w:val="false"/>
          <w:caps w:val="false"/>
          <w:smallCaps w:val="false"/>
          <w:sz w:val="20"/>
        </w:rPr>
        <w:t>FEL</w:t>
      </w:r>
      <w:r>
        <w:rPr>
          <w:rFonts w:ascii="Times New Roman;Times;Serif" w:hAnsi="Times New Roman;Times;Serif"/>
          <w:b w:val="false"/>
          <w:i w:val="false"/>
          <w:caps w:val="false"/>
          <w:smallCaps w:val="false"/>
          <w:sz w:val="20"/>
        </w:rPr>
        <w:t>”) studies, environmental studies, and other costs necessary to prepare the asset for its intended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during the preliminary project stage that are not directly attributable to the construction of the Facility are expensed as incurred. Capitalization of project costs begins when activities necessary to prepare the asset for construction are in progress and it is probable that the project will be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Construction-in-progress assets are not depreciated until the underlying assets are placed into service, at which time depreciation commences over the estimated useful lives of the related assets. The construction of the Facility is still in progress and hence no depreciation is charged on capital project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is stated at cost less accumulated depreciation and accumulated impairment loss. The Company depreciates computer and equipment using the straight-line method over the estimated economic useful lives of the asset, which are generally three</w:t>
      </w:r>
      <w:bookmarkStart w:id="383" w:name="xdx_90B_eus-gaap--PropertyPlantAndEquipm"/>
      <w:bookmarkEnd w:id="383"/>
      <w:r>
        <w:rPr>
          <w:rFonts w:ascii="Times New Roman;Times;Serif" w:hAnsi="Times New Roman;Times;Serif"/>
          <w:b w:val="false"/>
          <w:i w:val="false"/>
          <w:caps w:val="false"/>
          <w:smallCaps w:val="false"/>
          <w:sz w:val="20"/>
        </w:rPr>
        <w:t xml:space="preserve">3 to </w:t>
      </w:r>
      <w:bookmarkStart w:id="384" w:name="xdx_905_eus-gaap--PropertyPlantAndEquipm"/>
      <w:bookmarkEnd w:id="384"/>
      <w:r>
        <w:rPr>
          <w:rFonts w:ascii="Times New Roman;Times;Serif" w:hAnsi="Times New Roman;Times;Serif"/>
          <w:b w:val="false"/>
          <w:i w:val="false"/>
          <w:caps w:val="false"/>
          <w:smallCaps w:val="false"/>
          <w:sz w:val="20"/>
        </w:rPr>
        <w:t>five years. Land is a non-depreciable asset and is stated at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5" w:name="xdx_867_zrfJwdjKY8kb"/>
      <w:bookmarkStart w:id="386" w:name="xdx_843_eus-gaap--ImpairmentOrDisposalOf"/>
      <w:bookmarkEnd w:id="385"/>
      <w:bookmarkEnd w:id="386"/>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long-lived assets for possible impairment whenever events or circumstances indicate that the carrying amount of an asset may not be recoverable. Recoverability of long-lived assets to be held and used is measured by a comparison of the carrying amount of the asset to the estimated undiscounted future cash flows expected to be generated by the asset. If the carrying amount of an asset exceeds its estimated future cash flows, an impairment charge is recognized in the amount by which the carrying amount exceeds the fair value of the asset. Fair value is estimated at the price that would be received to sell an asset or paid to transfer a liability in an orderly transaction between market participants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7" w:name="xdx_86E_z4zwVcAW2bwc"/>
      <w:bookmarkStart w:id="388" w:name="xdx_846_eus-gaap--NewAccountingPronounce"/>
      <w:bookmarkEnd w:id="387"/>
      <w:bookmarkEnd w:id="388"/>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Financial Accounting Standards Board (“</w:t>
      </w:r>
      <w:r>
        <w:rPr>
          <w:rFonts w:ascii="Times New Roman;Times;Serif" w:hAnsi="Times New Roman;Times;Serif"/>
          <w:b/>
          <w:i w:val="false"/>
          <w:caps w:val="false"/>
          <w:smallCaps w:val="false"/>
          <w:sz w:val="20"/>
        </w:rPr>
        <w:t>FASB</w:t>
      </w:r>
      <w:r>
        <w:rPr>
          <w:rFonts w:ascii="Times New Roman;Times;Serif" w:hAnsi="Times New Roman;Times;Serif"/>
          <w:b w:val="false"/>
          <w:i w:val="false"/>
          <w:caps w:val="false"/>
          <w:smallCaps w:val="false"/>
          <w:sz w:val="20"/>
        </w:rPr>
        <w:t>”), under its ASC or other standard setting bodies, and adopted by the Company as of the specified effective date. The Company has reviewed the accounting pronouncements issued during the six months ended June 30, 2026, and concluded they were either not applicable or not expected to have a material impact on the Company’s unaudited condensed consolidated financial statements.</w:t>
      </w:r>
    </w:p>
    <w:p>
      <w:pPr>
        <w:pStyle w:val="TextBody"/>
        <w:bidi w:val="0"/>
        <w:spacing w:before="0" w:after="0"/>
        <w:ind w:left="0" w:right="0" w:hanging="0"/>
        <w:jc w:val="both"/>
        <w:rPr>
          <w:caps w:val="false"/>
          <w:smallCaps w:val="false"/>
        </w:rPr>
      </w:pPr>
      <w:bookmarkStart w:id="389" w:name="xdx_85B_z03Sw7whpqxh"/>
      <w:bookmarkEnd w:id="389"/>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0" w:name="xdx_804_eus-gaap--CommitmentsAndContinge"/>
      <w:bookmarkEnd w:id="390"/>
      <w:r>
        <w:rPr>
          <w:rFonts w:ascii="Times New Roman;Times;Serif" w:hAnsi="Times New Roman;Times;Serif"/>
          <w:b/>
          <w:i w:val="false"/>
          <w:caps w:val="false"/>
          <w:smallCaps w:val="false"/>
          <w:sz w:val="20"/>
        </w:rPr>
        <w:t xml:space="preserve">NOTE 3 - </w:t>
      </w:r>
      <w:bookmarkStart w:id="391" w:name="xdx_82D_zIt1G9E4UXc6"/>
      <w:bookmarkEnd w:id="391"/>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conditions may exist as at the date the unaudited condensed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The Company monitors the arrangements that are subject to guarantees in order to identify if the obligor who is responsible for making the payments fails to do so. If the Company determines it is probable that a loss has occurred, then any such estimable loss would be recognized under those guarantees. The methodology used to estimate potential loss related to guarantees considers the guarantee amount and a variety of factors, which include, depending on the counterparty, the latest financial position of the counterparty, actual defaults, historical defaults, and other economic conditions. Management does not believe, based upon information available at this time, that these matters will have a material adverse effect on the Company’s financial position, results of operations or cash flows. However, there is no assurance that such matters will not materially and adversely affect the Company’s business, financial position, and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2025 (the “</w:t>
      </w:r>
      <w:r>
        <w:rPr>
          <w:rFonts w:ascii="Times New Roman;Times;Serif" w:hAnsi="Times New Roman;Times;Serif"/>
          <w:b/>
          <w:i w:val="false"/>
          <w:caps w:val="false"/>
          <w:smallCaps w:val="false"/>
          <w:sz w:val="20"/>
        </w:rPr>
        <w:t>License Agreement Effective Date</w:t>
      </w:r>
      <w:r>
        <w:rPr>
          <w:rFonts w:ascii="Times New Roman;Times;Serif" w:hAnsi="Times New Roman;Times;Serif"/>
          <w:b w:val="false"/>
          <w:i w:val="false"/>
          <w:caps w:val="false"/>
          <w:smallCaps w:val="false"/>
          <w:sz w:val="20"/>
        </w:rPr>
        <w:t>”), the Company executed an exclusive license agreement (the “</w:t>
      </w:r>
      <w:r>
        <w:rPr>
          <w:rFonts w:ascii="Times New Roman;Times;Serif" w:hAnsi="Times New Roman;Times;Serif"/>
          <w:b/>
          <w:i w:val="false"/>
          <w:caps w:val="false"/>
          <w:smallCaps w:val="false"/>
          <w:sz w:val="20"/>
        </w:rPr>
        <w:t>License Agreement</w:t>
      </w:r>
      <w:r>
        <w:rPr>
          <w:rFonts w:ascii="Times New Roman;Times;Serif" w:hAnsi="Times New Roman;Times;Serif"/>
          <w:b w:val="false"/>
          <w:i w:val="false"/>
          <w:caps w:val="false"/>
          <w:smallCaps w:val="false"/>
          <w:sz w:val="20"/>
        </w:rPr>
        <w:t>”) with KMX Technologies, Inc., a Delaware corporation (“</w:t>
      </w:r>
      <w:r>
        <w:rPr>
          <w:rFonts w:ascii="Times New Roman;Times;Serif" w:hAnsi="Times New Roman;Times;Serif"/>
          <w:b/>
          <w:i w:val="false"/>
          <w:caps w:val="false"/>
          <w:smallCaps w:val="false"/>
          <w:sz w:val="20"/>
        </w:rPr>
        <w:t>KMX</w:t>
      </w:r>
      <w:r>
        <w:rPr>
          <w:rFonts w:ascii="Times New Roman;Times;Serif" w:hAnsi="Times New Roman;Times;Serif"/>
          <w:b w:val="false"/>
          <w:i w:val="false"/>
          <w:caps w:val="false"/>
          <w:smallCaps w:val="false"/>
          <w:sz w:val="20"/>
        </w:rPr>
        <w:t>”). Under the terms of the License Agreement, KMX agreed to irrevocably license to the Company the use of KMX’s vacuum membrane distillation technology (“</w:t>
      </w:r>
      <w:r>
        <w:rPr>
          <w:rFonts w:ascii="Times New Roman;Times;Serif" w:hAnsi="Times New Roman;Times;Serif"/>
          <w:b/>
          <w:i w:val="false"/>
          <w:caps w:val="false"/>
          <w:smallCaps w:val="false"/>
          <w:sz w:val="20"/>
        </w:rPr>
        <w:t>VMD Technology</w:t>
      </w:r>
      <w:r>
        <w:rPr>
          <w:rFonts w:ascii="Times New Roman;Times;Serif" w:hAnsi="Times New Roman;Times;Serif"/>
          <w:b w:val="false"/>
          <w:i w:val="false"/>
          <w:caps w:val="false"/>
          <w:smallCaps w:val="false"/>
          <w:sz w:val="20"/>
        </w:rPr>
        <w:t>”) and associated processes and systems (including units incorporating the VMD Technology (“</w:t>
      </w:r>
      <w:r>
        <w:rPr>
          <w:rFonts w:ascii="Times New Roman;Times;Serif" w:hAnsi="Times New Roman;Times;Serif"/>
          <w:b/>
          <w:i w:val="false"/>
          <w:caps w:val="false"/>
          <w:smallCaps w:val="false"/>
          <w:sz w:val="20"/>
        </w:rPr>
        <w:t>KMX VMD Units</w:t>
      </w:r>
      <w:r>
        <w:rPr>
          <w:rFonts w:ascii="Times New Roman;Times;Serif" w:hAnsi="Times New Roman;Times;Serif"/>
          <w:b w:val="false"/>
          <w:i w:val="false"/>
          <w:caps w:val="false"/>
          <w:smallCaps w:val="false"/>
          <w:sz w:val="20"/>
        </w:rPr>
        <w:t>”)) for use in the Company’s refining and upstream operations. Among other obligations set forth in the License Agreement, the Company shall be required to exclusively purchase all KMX VMD Units from the Licensor during the term of the License Agreement on the terms and conditions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2025, the Company entered into a non-binding letter agreement with Prairie Lithium Limited (“</w:t>
      </w:r>
      <w:r>
        <w:rPr>
          <w:rFonts w:ascii="Times New Roman;Times;Serif" w:hAnsi="Times New Roman;Times;Serif"/>
          <w:b/>
          <w:i w:val="false"/>
          <w:caps w:val="false"/>
          <w:smallCaps w:val="false"/>
          <w:sz w:val="20"/>
        </w:rPr>
        <w:t>Prairie</w:t>
      </w:r>
      <w:r>
        <w:rPr>
          <w:rFonts w:ascii="Times New Roman;Times;Serif" w:hAnsi="Times New Roman;Times;Serif"/>
          <w:b w:val="false"/>
          <w:i w:val="false"/>
          <w:caps w:val="false"/>
          <w:smallCaps w:val="false"/>
          <w:sz w:val="20"/>
        </w:rPr>
        <w:t xml:space="preserve">”), an Australia-based company, for the supply of </w:t>
      </w:r>
      <w:bookmarkStart w:id="392" w:name="xdx_900_ecustom--LithiumCarbonateEquival"/>
      <w:bookmarkEnd w:id="392"/>
      <w:r>
        <w:rPr>
          <w:rFonts w:ascii="Times New Roman;Times;Serif" w:hAnsi="Times New Roman;Times;Serif"/>
          <w:b w:val="false"/>
          <w:i w:val="false"/>
          <w:caps w:val="false"/>
          <w:smallCaps w:val="false"/>
          <w:sz w:val="20"/>
        </w:rPr>
        <w:t>6,000 metric tons per annum of lithium carbonate equivalent (“</w:t>
      </w:r>
      <w:r>
        <w:rPr>
          <w:rFonts w:ascii="Times New Roman;Times;Serif" w:hAnsi="Times New Roman;Times;Serif"/>
          <w:b/>
          <w:i w:val="false"/>
          <w:caps w:val="false"/>
          <w:smallCaps w:val="false"/>
          <w:sz w:val="20"/>
        </w:rPr>
        <w:t>LCE</w:t>
      </w:r>
      <w:r>
        <w:rPr>
          <w:rFonts w:ascii="Times New Roman;Times;Serif" w:hAnsi="Times New Roman;Times;Serif"/>
          <w:b w:val="false"/>
          <w:i w:val="false"/>
          <w:caps w:val="false"/>
          <w:smallCaps w:val="false"/>
          <w:sz w:val="20"/>
        </w:rPr>
        <w:t xml:space="preserve">”) in the form of lithium chloride. The lithium chloride is sourced from the Prairie Lithium Project in Saskatchewan, Canada and will be used as feedstock at the Facility. The initial contract term would span </w:t>
      </w:r>
      <w:bookmarkStart w:id="393" w:name="xdx_907_ecustom--LithiumCarbonateEquival"/>
      <w:bookmarkEnd w:id="393"/>
      <w:r>
        <w:rPr>
          <w:rFonts w:ascii="Times New Roman;Times;Serif" w:hAnsi="Times New Roman;Times;Serif"/>
          <w:b w:val="false"/>
          <w:i w:val="false"/>
          <w:caps w:val="false"/>
          <w:smallCaps w:val="false"/>
          <w:sz w:val="20"/>
        </w:rPr>
        <w:t>6 years starting from the date on which the first commercial shipment is received by the Company, with the option for the Company to renew for two additional six-year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2025, the Company entered into a non-binding letter agreement with Mandrake Resources Limited (“</w:t>
      </w:r>
      <w:r>
        <w:rPr>
          <w:rFonts w:ascii="Times New Roman;Times;Serif" w:hAnsi="Times New Roman;Times;Serif"/>
          <w:b/>
          <w:i w:val="false"/>
          <w:caps w:val="false"/>
          <w:smallCaps w:val="false"/>
          <w:sz w:val="20"/>
        </w:rPr>
        <w:t>Mandrake</w:t>
      </w:r>
      <w:r>
        <w:rPr>
          <w:rFonts w:ascii="Times New Roman;Times;Serif" w:hAnsi="Times New Roman;Times;Serif"/>
          <w:b w:val="false"/>
          <w:i w:val="false"/>
          <w:caps w:val="false"/>
          <w:smallCaps w:val="false"/>
          <w:sz w:val="20"/>
        </w:rPr>
        <w:t xml:space="preserve">”), an Australia-based company, for the supply of </w:t>
      </w:r>
      <w:bookmarkStart w:id="394" w:name="xdx_907_ecustom--LithiumCarbonateEquival"/>
      <w:bookmarkEnd w:id="394"/>
      <w:r>
        <w:rPr>
          <w:rFonts w:ascii="Times New Roman;Times;Serif" w:hAnsi="Times New Roman;Times;Serif"/>
          <w:b w:val="false"/>
          <w:i w:val="false"/>
          <w:caps w:val="false"/>
          <w:smallCaps w:val="false"/>
          <w:sz w:val="20"/>
        </w:rPr>
        <w:t xml:space="preserve">7,500 metric tons per annum of LCE in the form of lithium chloride. The initial contract term would span </w:t>
      </w:r>
      <w:bookmarkStart w:id="395" w:name="xdx_903_ecustom--LithiumCarbonateEquival"/>
      <w:bookmarkEnd w:id="395"/>
      <w:r>
        <w:rPr>
          <w:rFonts w:ascii="Times New Roman;Times;Serif" w:hAnsi="Times New Roman;Times;Serif"/>
          <w:b w:val="false"/>
          <w:i w:val="false"/>
          <w:caps w:val="false"/>
          <w:smallCaps w:val="false"/>
          <w:sz w:val="20"/>
        </w:rPr>
        <w:t>12 years starting from the date on which first commercial shipment is received by the Company, with the option for the Company to renew for an additional six-year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13, 2026, the Company entered into a non-binding letter agreement with a strategic counterparty for the supply of </w:t>
      </w:r>
      <w:bookmarkStart w:id="396" w:name="xdx_90D_ecustom--LithiumCarbonateEquival"/>
      <w:bookmarkEnd w:id="396"/>
      <w:r>
        <w:rPr>
          <w:rFonts w:ascii="Times New Roman;Times;Serif" w:hAnsi="Times New Roman;Times;Serif"/>
          <w:b w:val="false"/>
          <w:i w:val="false"/>
          <w:caps w:val="false"/>
          <w:smallCaps w:val="false"/>
          <w:sz w:val="20"/>
        </w:rPr>
        <w:t xml:space="preserve">15,000 metric tons per annum of LCE in the form of lithium chloride. The initial contract term would span </w:t>
      </w:r>
      <w:bookmarkStart w:id="397" w:name="xdx_901_ecustom--LithiumCarbonateEquival"/>
      <w:bookmarkEnd w:id="397"/>
      <w:r>
        <w:rPr>
          <w:rFonts w:ascii="Times New Roman;Times;Serif" w:hAnsi="Times New Roman;Times;Serif"/>
          <w:b w:val="false"/>
          <w:i w:val="false"/>
          <w:caps w:val="false"/>
          <w:smallCaps w:val="false"/>
          <w:sz w:val="20"/>
        </w:rPr>
        <w:t>12 years starting from the date on which first commercial shipment is received by the Company, with the option for the Company to renew for an additional six-year term.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involved in certain legal and regulatory proceedings, as well as demands, investigations and claims that arise in the ordinary course of its business. The ultimate outcome of any litigation is often uncertain, and unfavorable outcomes could have a negative impact on the Company’s results of operations and financial condition. The Company makes a provision for a liability relating to legal matters when it is probable that a liability has been incurred and the amount of the loss can be reasonably estimated. These provisions are reviewed at least quarterly and adjusted to reflect the impact of negotiations, estimated settlements, legal rulings, advice of legal counsel and other information and events pertaining to a particular matter. In the Company’s opinion, resolution of any pending claims (either individually or in the aggregate) is not expected to have a material adverse impact on the Company’s consolidated results of operations, cash flows or financial position, nor is it possible to provide an estimated amount of any such loss. However, depending on the nature and timing of any such dispute, an unfavorable resolution of a matter could materially affect the Company’s future financial position, results of operations, or cash flows, or all in a particular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2025, a complaint was filed in the Supreme Court of the State of New York, County of New York, captioned H.C. Wainwright &amp; Co., LLC v. Stardust Power, Inc., Case No: 654037/2025. The complaint names the Company as a defendant, and alleges, among other things, that the Company breached an engagement agreement with the plaintiffs. The plaintiffs seek, among other things, payment of all purported unpaid sums due under such engagement agreement. On September 19, 2025, the Company filed its answer in response to the complaint, in which it denied all liability and asserted several affirmative defenses. The action is proceeding to the discovery stage and for further proceedings. The Company plans to vigorously defend against the lawsuit.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398" w:name="xdx_807_eus-gaap--StockholdersEquityNote"/>
      <w:bookmarkEnd w:id="398"/>
      <w:r>
        <w:rPr>
          <w:rFonts w:ascii="Times New Roman;Times;Serif" w:hAnsi="Times New Roman;Times;Serif"/>
          <w:b/>
          <w:i w:val="false"/>
          <w:caps/>
          <w:sz w:val="20"/>
        </w:rPr>
        <w:t xml:space="preserve">NOTE 4 – </w:t>
      </w:r>
      <w:bookmarkStart w:id="399" w:name="xdx_820_zDa9dJKsUh9b"/>
      <w:bookmarkEnd w:id="399"/>
      <w:r>
        <w:rPr>
          <w:rFonts w:ascii="Times New Roman;Times;Serif" w:hAnsi="Times New Roman;Times;Serif"/>
          <w:b/>
          <w:i w:val="false"/>
          <w:caps/>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2024, the Common Stock and Public Warrants began trading on Nasdaq under the ticker symbols “SDST” and “SDSTW”,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is entitled to one vote. The holders of Common Stock are also entitled to receive dividends whenever funds are legally available and when declared by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subject to prior rights of the convertible preferred stockholders. Shares of Common Stock issued and outstanding on the unaudited condensed consolidated balance sheet and unaudited condensed consolidated statement of stockholders’ deficit includes shares related to restricted stock that are subject to repurchase.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w:t>
      </w:r>
      <w:bookmarkStart w:id="400" w:name="xdx_901_eus-gaap--CommonStockSharesAutho"/>
      <w:bookmarkEnd w:id="400"/>
      <w:r>
        <w:rPr>
          <w:rFonts w:ascii="Times New Roman;Times;Serif" w:hAnsi="Times New Roman;Times;Serif"/>
          <w:b w:val="false"/>
          <w:i w:val="false"/>
          <w:caps w:val="false"/>
          <w:smallCaps w:val="false"/>
          <w:sz w:val="20"/>
        </w:rPr>
        <w:t xml:space="preserve">700,000,000 and </w:t>
      </w:r>
      <w:bookmarkStart w:id="401" w:name="xdx_900_eus-gaap--PreferredStockSharesAu"/>
      <w:bookmarkEnd w:id="401"/>
      <w:r>
        <w:rPr>
          <w:rFonts w:ascii="Times New Roman;Times;Serif" w:hAnsi="Times New Roman;Times;Serif"/>
          <w:b w:val="false"/>
          <w:i w:val="false"/>
          <w:caps w:val="false"/>
          <w:smallCaps w:val="false"/>
          <w:sz w:val="20"/>
        </w:rPr>
        <w:t>100,000,000 shares, par value of $</w:t>
      </w:r>
      <w:bookmarkStart w:id="402" w:name="xdx_908_eus-gaap--PreferredStockParOrSta"/>
      <w:bookmarkEnd w:id="402"/>
      <w:r>
        <w:rPr>
          <w:rFonts w:ascii="Times New Roman;Times;Serif" w:hAnsi="Times New Roman;Times;Serif"/>
          <w:b w:val="false"/>
          <w:i w:val="false"/>
          <w:caps w:val="false"/>
          <w:smallCaps w:val="false"/>
          <w:sz w:val="20"/>
        </w:rPr>
        <w:t xml:space="preserve">0.0001 per share, of Common Stock and Preferred Stock, respectively. At June 30, 2026, the Company had </w:t>
      </w:r>
      <w:bookmarkStart w:id="403" w:name="xdx_903_eus-gaap--CommonStockSharesOutst"/>
      <w:bookmarkEnd w:id="403"/>
      <w:r>
        <w:rPr>
          <w:rFonts w:ascii="Times New Roman;Times;Serif" w:hAnsi="Times New Roman;Times;Serif"/>
          <w:b w:val="false"/>
          <w:i w:val="false"/>
          <w:caps w:val="false"/>
          <w:smallCaps w:val="false"/>
          <w:sz w:val="20"/>
        </w:rPr>
        <w:t xml:space="preserve">11,628,657 shares of Common Stock issued and outstanding. As of December 31, 2025, the Company had </w:t>
      </w:r>
      <w:bookmarkStart w:id="404" w:name="xdx_904_eus-gaap--CommonStockSharesOutst"/>
      <w:bookmarkEnd w:id="404"/>
      <w:r>
        <w:rPr>
          <w:rFonts w:ascii="Times New Roman;Times;Serif" w:hAnsi="Times New Roman;Times;Serif"/>
          <w:b w:val="false"/>
          <w:i w:val="false"/>
          <w:caps w:val="false"/>
          <w:smallCaps w:val="false"/>
          <w:sz w:val="20"/>
        </w:rPr>
        <w:t>9,869,558 shares of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Sponsor Earnout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closing of the Business Combination, the Company issued </w:t>
      </w:r>
      <w:bookmarkStart w:id="405" w:name="xdx_902_eus-gaap--StockIssuedDuringPerio"/>
      <w:bookmarkEnd w:id="405"/>
      <w:r>
        <w:rPr>
          <w:rFonts w:ascii="Times New Roman;Times;Serif" w:hAnsi="Times New Roman;Times;Serif"/>
          <w:b w:val="false"/>
          <w:i w:val="false"/>
          <w:caps w:val="false"/>
          <w:smallCaps w:val="false"/>
          <w:sz w:val="20"/>
        </w:rPr>
        <w:t>100,000 shares to Global Partner Sponsor II, LLC (the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These shares are subject to vesting (or forfeiture) based on achieving certain trading price thresholds following the closing (“</w:t>
      </w:r>
      <w:r>
        <w:rPr>
          <w:rFonts w:ascii="Times New Roman;Times;Serif" w:hAnsi="Times New Roman;Times;Serif"/>
          <w:b/>
          <w:i w:val="false"/>
          <w:caps w:val="false"/>
          <w:smallCaps w:val="false"/>
          <w:sz w:val="20"/>
        </w:rPr>
        <w:t>Sponsor Earnout Shares</w:t>
      </w:r>
      <w:r>
        <w:rPr>
          <w:rFonts w:ascii="Times New Roman;Times;Serif" w:hAnsi="Times New Roman;Times;Serif"/>
          <w:b w:val="false"/>
          <w:i w:val="false"/>
          <w:caps w:val="false"/>
          <w:smallCaps w:val="false"/>
          <w:sz w:val="20"/>
        </w:rPr>
        <w:t>”). Fifty percent of the Sponsor Earnout Shares will vest when the Volume-Weighted Average Price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of the Common Stock price equals or exceeds $</w:t>
      </w:r>
      <w:bookmarkStart w:id="406" w:name="xdx_90B_eus-gaap--ShareBasedCompensation"/>
      <w:bookmarkEnd w:id="406"/>
      <w:r>
        <w:rPr>
          <w:rFonts w:ascii="Times New Roman;Times;Serif" w:hAnsi="Times New Roman;Times;Serif"/>
          <w:b w:val="false"/>
          <w:i w:val="false"/>
          <w:caps w:val="false"/>
          <w:smallCaps w:val="false"/>
          <w:sz w:val="20"/>
        </w:rPr>
        <w:t>120.00 per share for a period of 20 trading days in a 30 trading day period, and the remaining fifty percent of the Sponsor Earnout Shares will vest when the VWAP of the Common Stock price equals or exceeds $</w:t>
      </w:r>
      <w:bookmarkStart w:id="407" w:name="xdx_902_eus-gaap--SharesIssuedPricePerSh"/>
      <w:bookmarkEnd w:id="407"/>
      <w:r>
        <w:rPr>
          <w:rFonts w:ascii="Times New Roman;Times;Serif" w:hAnsi="Times New Roman;Times;Serif"/>
          <w:b w:val="false"/>
          <w:i w:val="false"/>
          <w:caps w:val="false"/>
          <w:smallCaps w:val="false"/>
          <w:sz w:val="20"/>
        </w:rPr>
        <w:t>140.00 per share for a period of 20 trading days in a 30 trading day period. There are no service conditions or any requirement for the participants to provide goods or services in order to vest in the Sponsor Earnout Shares. Accordingly, the Company determined that the Sponsor Earnout Shares are not within the scope of ASC 718. The accounting for the Sponsor Earnout Shares was evaluated under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and ASC Subtopic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ASC 815-40</w:t>
      </w:r>
      <w:r>
        <w:rPr>
          <w:rFonts w:ascii="Times New Roman;Times;Serif" w:hAnsi="Times New Roman;Times;Serif"/>
          <w:b w:val="false"/>
          <w:i w:val="false"/>
          <w:caps w:val="false"/>
          <w:smallCaps w:val="false"/>
          <w:sz w:val="20"/>
        </w:rPr>
        <w:t>”), to determine if the Sponsor Earnout Shares should be classified as a liability or within equity. As part of the analysis, it was determined that the Sponsor Earnout Shares subject to vesting are freestanding from other shares of Combined Company Common Stock held by the Sponsor and do not meet the criteria in ASC 815-40 to be considered indexed to the Combined Company Common Stock, due to the settlement provisions including a change in control component which could impact the number of the Sponsor Earnout Shares that are ultimately settled for, which is not an input to a fixed-for-fixed option pricing model. As a result, the Sponsor Earnout Shares were classified as a liability. Subsequent changes in the fair value of the Sponsor Earnout Shares will be reflected in the unaudited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in control, any remaining unvested Sponsor Earnout Shares become vested. Unvested Sponsor Earnout Shares will be forfeited if vesting does not occur prior to the eighth anniversary of the Closing Date. The Company assesses the fair value of expected earnout consideration at each reporting period using the Monte Carlo Method, which is consistent with the initial measurement of the expected earnout consideration. As at June 30, 2026 and December 31, 2025, the Company did not identify any indicators that a change in the fair value of the Sponsor Earnout Shares last measured at $</w:t>
      </w:r>
      <w:bookmarkStart w:id="408" w:name="xdx_908_ecustom--SponsorEarnOutSharesFai"/>
      <w:bookmarkEnd w:id="408"/>
      <w:r>
        <w:rPr>
          <w:rFonts w:ascii="Times New Roman;Times;Serif" w:hAnsi="Times New Roman;Times;Serif"/>
          <w:b w:val="false"/>
          <w:i w:val="false"/>
          <w:caps w:val="false"/>
          <w:smallCaps w:val="false"/>
          <w:sz w:val="20"/>
        </w:rPr>
        <w:t>4,700 as of March 31, 2025, would be material, and accordingly did not perform an updated Monte Carlo valuation as of either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2024, the Company entered into a common stock purchase agreement and a related registration rights agreement with B. Riley Principal Capital II (the “</w:t>
      </w:r>
      <w:r>
        <w:rPr>
          <w:rFonts w:ascii="Times New Roman;Times;Serif" w:hAnsi="Times New Roman;Times;Serif"/>
          <w:b/>
          <w:i w:val="false"/>
          <w:caps w:val="false"/>
          <w:smallCaps w:val="false"/>
          <w:sz w:val="20"/>
        </w:rPr>
        <w:t>Prior B. Riley Agreements</w:t>
      </w:r>
      <w:r>
        <w:rPr>
          <w:rFonts w:ascii="Times New Roman;Times;Serif" w:hAnsi="Times New Roman;Times;Serif"/>
          <w:b w:val="false"/>
          <w:i w:val="false"/>
          <w:caps w:val="false"/>
          <w:smallCaps w:val="false"/>
          <w:sz w:val="20"/>
        </w:rPr>
        <w:t>”), pursuant to which the Company could have, at its sole discretion and subject to certain conditions and limitations (including 4.99% beneficial ownership limitation), sold up to the lesser of $</w:t>
      </w:r>
      <w:bookmarkStart w:id="409" w:name="xdx_901_eus-gaap--StockIssuedDuringPerio"/>
      <w:bookmarkEnd w:id="409"/>
      <w:r>
        <w:rPr>
          <w:rFonts w:ascii="Times New Roman;Times;Serif" w:hAnsi="Times New Roman;Times;Serif"/>
          <w:b w:val="false"/>
          <w:i w:val="false"/>
          <w:caps w:val="false"/>
          <w:smallCaps w:val="false"/>
          <w:sz w:val="20"/>
        </w:rPr>
        <w:t>50.0 million of its Common Stock or the applicable Exchange Cap (19.99% of the common shares outstanding immediately prior to execution of the Prior B. Riley Agreements) during the 36-month term of the Prior B. Riley Agreements. The purchase price of shares is based on the VWAP of the Company’s Common Stock on the applicable purchase date, less a fixed 3%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Prior B. Riley Agreements, the Company issued </w:t>
      </w:r>
      <w:bookmarkStart w:id="410" w:name="xdx_90A_eus-gaap--StockIssuedDuringPerio"/>
      <w:bookmarkEnd w:id="410"/>
      <w:r>
        <w:rPr>
          <w:rFonts w:ascii="Times New Roman;Times;Serif" w:hAnsi="Times New Roman;Times;Serif"/>
          <w:b w:val="false"/>
          <w:i w:val="false"/>
          <w:caps w:val="false"/>
          <w:smallCaps w:val="false"/>
          <w:sz w:val="20"/>
        </w:rPr>
        <w:t>6,369 shares of Common Stock as commitment shares to B. Riley Principal Capital II with a grant date fair value of $</w:t>
      </w:r>
      <w:bookmarkStart w:id="411" w:name="xdx_90F_ecustom--GrantDateFairValueAmoun"/>
      <w:bookmarkEnd w:id="411"/>
      <w:r>
        <w:rPr>
          <w:rFonts w:ascii="Times New Roman;Times;Serif" w:hAnsi="Times New Roman;Times;Serif"/>
          <w:b w:val="false"/>
          <w:i w:val="false"/>
          <w:caps w:val="false"/>
          <w:smallCaps w:val="false"/>
          <w:sz w:val="20"/>
        </w:rPr>
        <w:t>500,000, which was recorded as a component of finance charges in the consolidated statements of operations for the year ended December 31, 2024. The Prior B. Riley Agreements also provided for a make-whole mechanism whereby, if B. Riley Principal Capital II’s aggregate resale proceeds from the commitment shares were less than $</w:t>
      </w:r>
      <w:bookmarkStart w:id="412" w:name="xdx_908_ecustom--SyntheticATMCommitmentF"/>
      <w:bookmarkEnd w:id="412"/>
      <w:r>
        <w:rPr>
          <w:rFonts w:ascii="Times New Roman;Times;Serif" w:hAnsi="Times New Roman;Times;Serif"/>
          <w:b w:val="false"/>
          <w:i w:val="false"/>
          <w:caps w:val="false"/>
          <w:smallCaps w:val="false"/>
          <w:sz w:val="20"/>
        </w:rPr>
        <w:t>500,000, the Company would pay the shortfall in cash, and if the resale proceeds exceeded $</w:t>
      </w:r>
      <w:bookmarkStart w:id="413" w:name="xdx_901_ecustom--SyntheticATMCommitmentF"/>
      <w:bookmarkEnd w:id="413"/>
      <w:r>
        <w:rPr>
          <w:rFonts w:ascii="Times New Roman;Times;Serif" w:hAnsi="Times New Roman;Times;Serif"/>
          <w:b w:val="false"/>
          <w:i w:val="false"/>
          <w:caps w:val="false"/>
          <w:smallCaps w:val="false"/>
          <w:sz w:val="20"/>
        </w:rPr>
        <w:t>500,000, B. Riley Principal Capital II would remit 50% of the excess to the Company. As of June 30, 2025, the fair market value of the commitment shares was $</w:t>
      </w:r>
      <w:bookmarkStart w:id="414" w:name="xdx_905_eus-gaap--OtherCommitment_iI_c20"/>
      <w:bookmarkEnd w:id="414"/>
      <w:r>
        <w:rPr>
          <w:rFonts w:ascii="Times New Roman;Times;Serif" w:hAnsi="Times New Roman;Times;Serif"/>
          <w:b w:val="false"/>
          <w:i w:val="false"/>
          <w:caps w:val="false"/>
          <w:smallCaps w:val="false"/>
          <w:sz w:val="20"/>
        </w:rPr>
        <w:t>12,546, resulting in a make-whole obligation of $</w:t>
      </w:r>
      <w:bookmarkStart w:id="415" w:name="xdx_906_ecustom--LossFromChangeInFairVal"/>
      <w:bookmarkEnd w:id="415"/>
      <w:r>
        <w:rPr>
          <w:rFonts w:ascii="Times New Roman;Times;Serif" w:hAnsi="Times New Roman;Times;Serif"/>
          <w:b w:val="false"/>
          <w:i w:val="false"/>
          <w:caps w:val="false"/>
          <w:smallCaps w:val="false"/>
          <w:sz w:val="20"/>
        </w:rPr>
        <w:t>487,454. The change in the fair value of the make-whole obligation of $</w:t>
      </w:r>
      <w:bookmarkStart w:id="416" w:name="xdx_90C_ecustom--LossFromChangeInFairVal"/>
      <w:bookmarkEnd w:id="416"/>
      <w:r>
        <w:rPr>
          <w:rFonts w:ascii="Times New Roman;Times;Serif" w:hAnsi="Times New Roman;Times;Serif"/>
          <w:b w:val="false"/>
          <w:i w:val="false"/>
          <w:caps w:val="false"/>
          <w:smallCaps w:val="false"/>
          <w:sz w:val="20"/>
        </w:rPr>
        <w:t>17,513 and $</w:t>
      </w:r>
      <w:bookmarkStart w:id="417" w:name="xdx_90F_ecustom--LossFromChangeInFairVal"/>
      <w:bookmarkEnd w:id="417"/>
      <w:r>
        <w:rPr>
          <w:rFonts w:ascii="Times New Roman;Times;Serif" w:hAnsi="Times New Roman;Times;Serif"/>
          <w:b w:val="false"/>
          <w:i w:val="false"/>
          <w:caps w:val="false"/>
          <w:smallCaps w:val="false"/>
          <w:sz w:val="20"/>
        </w:rPr>
        <w:t>215,443 was recognized as a component of finance charges in the unaudited condensed consolidated statements of operations for the three and six months ended June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11, 2025, the Company entered into a letter agreement with B. Riley Principal Capital II, pursuant to which the parties mutually agreed to terminate the Prior B. Riley Agreements. As part of the termination, the Company agreed to satisfy the make-whole payment as per the terms of the Prior B. Riley Agreements of $</w:t>
      </w:r>
      <w:bookmarkStart w:id="418" w:name="xdx_90D_ecustom--MakeWholePaymentsOnTerm"/>
      <w:bookmarkEnd w:id="418"/>
      <w:r>
        <w:rPr>
          <w:rFonts w:ascii="Times New Roman;Times;Serif" w:hAnsi="Times New Roman;Times;Serif"/>
          <w:b w:val="false"/>
          <w:i w:val="false"/>
          <w:caps w:val="false"/>
          <w:smallCaps w:val="false"/>
          <w:sz w:val="20"/>
        </w:rPr>
        <w:t>471,942, in three equal portions: (i) through the issuance of restricted Common Stock priced at $</w:t>
      </w:r>
      <w:bookmarkStart w:id="419" w:name="xdx_90D_eus-gaap--ClassOfWarrantOrRightE"/>
      <w:bookmarkEnd w:id="419"/>
      <w:r>
        <w:rPr>
          <w:rFonts w:ascii="Times New Roman;Times;Serif" w:hAnsi="Times New Roman;Times;Serif"/>
          <w:b w:val="false"/>
          <w:i w:val="false"/>
          <w:caps w:val="false"/>
          <w:smallCaps w:val="false"/>
          <w:sz w:val="20"/>
        </w:rPr>
        <w:t xml:space="preserve">4.40 per share and subject to resale registration, (ii) in cash upon the Company’s next equity or convertible financing, and (iii) in connection with a future equity line, at-the-market program, or similar financing that the Company is currently working on with the Investor or its affiliate, or otherwise in cash if unpaid by September 30, 2026. On December 15, 2025, the Company issued </w:t>
      </w:r>
      <w:bookmarkStart w:id="420" w:name="xdx_90A_eus-gaap--StockIssuedDuringPerio"/>
      <w:bookmarkEnd w:id="420"/>
      <w:r>
        <w:rPr>
          <w:rFonts w:ascii="Times New Roman;Times;Serif" w:hAnsi="Times New Roman;Times;Serif"/>
          <w:b w:val="false"/>
          <w:i w:val="false"/>
          <w:caps w:val="false"/>
          <w:smallCaps w:val="false"/>
          <w:sz w:val="20"/>
        </w:rPr>
        <w:t>35,753 shares of Common Stock (“</w:t>
      </w:r>
      <w:r>
        <w:rPr>
          <w:rFonts w:ascii="Times New Roman;Times;Serif" w:hAnsi="Times New Roman;Times;Serif"/>
          <w:b/>
          <w:i w:val="false"/>
          <w:caps w:val="false"/>
          <w:smallCaps w:val="false"/>
          <w:sz w:val="20"/>
        </w:rPr>
        <w:t>Settlement Shares</w:t>
      </w:r>
      <w:r>
        <w:rPr>
          <w:rFonts w:ascii="Times New Roman;Times;Serif" w:hAnsi="Times New Roman;Times;Serif"/>
          <w:b w:val="false"/>
          <w:i w:val="false"/>
          <w:caps w:val="false"/>
          <w:smallCaps w:val="false"/>
          <w:sz w:val="20"/>
        </w:rPr>
        <w:t>”) to B. Riley Principal Capital II to satisfy one-third of the make-whole payment as per the terms of the Agreement. As of December 31, 2025, and June 30, 2026, the fair value of the Settlement Shares was $</w:t>
      </w:r>
      <w:bookmarkStart w:id="421" w:name="xdx_900_ecustom--FairValueOfSettlementSh"/>
      <w:bookmarkEnd w:id="421"/>
      <w:r>
        <w:rPr>
          <w:rFonts w:ascii="Times New Roman;Times;Serif" w:hAnsi="Times New Roman;Times;Serif"/>
          <w:b w:val="false"/>
          <w:i w:val="false"/>
          <w:caps w:val="false"/>
          <w:smallCaps w:val="false"/>
          <w:sz w:val="20"/>
        </w:rPr>
        <w:t>109,405 and $</w:t>
      </w:r>
      <w:bookmarkStart w:id="422" w:name="xdx_90E_ecustom--FairValueOfSettlementSh"/>
      <w:bookmarkEnd w:id="422"/>
      <w:r>
        <w:rPr>
          <w:rFonts w:ascii="Times New Roman;Times;Serif" w:hAnsi="Times New Roman;Times;Serif"/>
          <w:b w:val="false"/>
          <w:i w:val="false"/>
          <w:caps w:val="false"/>
          <w:smallCaps w:val="false"/>
          <w:sz w:val="20"/>
        </w:rPr>
        <w:t>55,776, respectively, which was less than one-third of the make-whole obligation of $</w:t>
      </w:r>
      <w:bookmarkStart w:id="423" w:name="xdx_904_ecustom--FairValueOfSettlementSh"/>
      <w:bookmarkEnd w:id="423"/>
      <w:r>
        <w:rPr>
          <w:rFonts w:ascii="Times New Roman;Times;Serif" w:hAnsi="Times New Roman;Times;Serif"/>
          <w:b w:val="false"/>
          <w:i w:val="false"/>
          <w:caps w:val="false"/>
          <w:smallCaps w:val="false"/>
          <w:sz w:val="20"/>
        </w:rPr>
        <w:t>157,315. Accordingly, the Company recorded an accrual of $</w:t>
      </w:r>
      <w:bookmarkStart w:id="424" w:name="xdx_90E_ecustom--AccrualFairValueOfSettl"/>
      <w:bookmarkEnd w:id="424"/>
      <w:r>
        <w:rPr>
          <w:rFonts w:ascii="Times New Roman;Times;Serif" w:hAnsi="Times New Roman;Times;Serif"/>
          <w:b w:val="false"/>
          <w:i w:val="false"/>
          <w:caps w:val="false"/>
          <w:smallCaps w:val="false"/>
          <w:sz w:val="20"/>
        </w:rPr>
        <w:t>47,910 as of December 31, 2025, and an additional accrual of $</w:t>
      </w:r>
      <w:bookmarkStart w:id="425" w:name="xdx_905_ecustom--AccrualFairValueOfSettl"/>
      <w:bookmarkEnd w:id="425"/>
      <w:r>
        <w:rPr>
          <w:rFonts w:ascii="Times New Roman;Times;Serif" w:hAnsi="Times New Roman;Times;Serif"/>
          <w:b w:val="false"/>
          <w:i w:val="false"/>
          <w:caps w:val="false"/>
          <w:smallCaps w:val="false"/>
          <w:sz w:val="20"/>
        </w:rPr>
        <w:t>53,629 for the six months ended June 30, 2026, representing the differential between the fair value of the Settlement Shares and one-third of the make-whole obligation. In January 2026, the Company made a cash payment of $</w:t>
      </w:r>
      <w:bookmarkStart w:id="426" w:name="xdx_908_ecustom--FairValueOfSettlementSh"/>
      <w:bookmarkEnd w:id="426"/>
      <w:r>
        <w:rPr>
          <w:rFonts w:ascii="Times New Roman;Times;Serif" w:hAnsi="Times New Roman;Times;Serif"/>
          <w:b w:val="false"/>
          <w:i w:val="false"/>
          <w:caps w:val="false"/>
          <w:smallCaps w:val="false"/>
          <w:sz w:val="20"/>
        </w:rPr>
        <w:t>157,314 to settle one-third of the make-whole obligation and in May 2026, the Company received an invoice for the remaining one-third of the make-whole obligation of $</w:t>
      </w:r>
      <w:bookmarkStart w:id="427" w:name="xdx_90B_ecustom--LossFromChangeInFairVal"/>
      <w:bookmarkEnd w:id="427"/>
      <w:r>
        <w:rPr>
          <w:rFonts w:ascii="Times New Roman;Times;Serif" w:hAnsi="Times New Roman;Times;Serif"/>
          <w:b w:val="false"/>
          <w:i w:val="false"/>
          <w:caps w:val="false"/>
          <w:smallCaps w:val="false"/>
          <w:sz w:val="20"/>
        </w:rPr>
        <w:t>157,314 and made a cash payment of $</w:t>
      </w:r>
      <w:bookmarkStart w:id="428" w:name="xdx_903_ecustom--FairValueOfSettlementSh"/>
      <w:bookmarkEnd w:id="428"/>
      <w:r>
        <w:rPr>
          <w:rFonts w:ascii="Times New Roman;Times;Serif" w:hAnsi="Times New Roman;Times;Serif"/>
          <w:b w:val="false"/>
          <w:i w:val="false"/>
          <w:caps w:val="false"/>
          <w:smallCaps w:val="false"/>
          <w:sz w:val="20"/>
        </w:rPr>
        <w:t>75,000. As of December 31, 2025 and June 30, 2026, the total make-whole obligation balance was $</w:t>
      </w:r>
      <w:bookmarkStart w:id="429" w:name="xdx_901_ecustom--LossFromChangeInFairVal"/>
      <w:bookmarkEnd w:id="429"/>
      <w:r>
        <w:rPr>
          <w:rFonts w:ascii="Times New Roman;Times;Serif" w:hAnsi="Times New Roman;Times;Serif"/>
          <w:b w:val="false"/>
          <w:i w:val="false"/>
          <w:caps w:val="false"/>
          <w:smallCaps w:val="false"/>
          <w:sz w:val="20"/>
        </w:rPr>
        <w:t>362,538 and $</w:t>
      </w:r>
      <w:bookmarkStart w:id="430" w:name="xdx_90B_ecustom--LossFromChangeInFairVal"/>
      <w:bookmarkEnd w:id="430"/>
      <w:r>
        <w:rPr>
          <w:rFonts w:ascii="Times New Roman;Times;Serif" w:hAnsi="Times New Roman;Times;Serif"/>
          <w:b w:val="false"/>
          <w:i w:val="false"/>
          <w:caps w:val="false"/>
          <w:smallCaps w:val="false"/>
          <w:sz w:val="20"/>
        </w:rPr>
        <w:t>101,539, respectively and is included in accrued expenses and other current liabilities in the accompanying condensed consolidated balance sheets. The change in the fair value of the make-whole obligation of $</w:t>
      </w:r>
      <w:bookmarkStart w:id="431" w:name="xdx_905_ecustom--LossFromChangeInFairVal"/>
      <w:bookmarkEnd w:id="431"/>
      <w:r>
        <w:rPr>
          <w:rFonts w:ascii="Times New Roman;Times;Serif" w:hAnsi="Times New Roman;Times;Serif"/>
          <w:b w:val="false"/>
          <w:i w:val="false"/>
          <w:caps w:val="false"/>
          <w:smallCaps w:val="false"/>
          <w:sz w:val="20"/>
        </w:rPr>
        <w:t>28,602 and $</w:t>
      </w:r>
      <w:bookmarkStart w:id="432" w:name="xdx_907_ecustom--LossFromChangeInFairVal"/>
      <w:bookmarkEnd w:id="432"/>
      <w:r>
        <w:rPr>
          <w:rFonts w:ascii="Times New Roman;Times;Serif" w:hAnsi="Times New Roman;Times;Serif"/>
          <w:b w:val="false"/>
          <w:i w:val="false"/>
          <w:caps w:val="false"/>
          <w:smallCaps w:val="false"/>
          <w:sz w:val="20"/>
        </w:rPr>
        <w:t>53,629 is recorded as a component of finance charges in the accompanying unaudited condensed consolidated statements of operations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2026, the Company entered into the B. Riley Agreements. Pursuant to the B. Riley Agreements, the Company has the right, in its sole discretion, to sell to B. Riley Principal Capital II, from time to time during the 36-month investment period, up to $</w:t>
      </w:r>
      <w:bookmarkStart w:id="433" w:name="xdx_904_eus-gaap--StockIssuedDuringPerio"/>
      <w:bookmarkEnd w:id="433"/>
      <w:r>
        <w:rPr>
          <w:rFonts w:ascii="Times New Roman;Times;Serif" w:hAnsi="Times New Roman;Times;Serif"/>
          <w:b w:val="false"/>
          <w:i w:val="false"/>
          <w:caps w:val="false"/>
          <w:smallCaps w:val="false"/>
          <w:sz w:val="20"/>
        </w:rPr>
        <w:t>10,000,000 of newly issued shares of Common Stock (the “</w:t>
      </w:r>
      <w:r>
        <w:rPr>
          <w:rFonts w:ascii="Times New Roman;Times;Serif" w:hAnsi="Times New Roman;Times;Serif"/>
          <w:b/>
          <w:i w:val="false"/>
          <w:caps w:val="false"/>
          <w:smallCaps w:val="false"/>
          <w:sz w:val="20"/>
        </w:rPr>
        <w:t>Total Commitment</w:t>
      </w:r>
      <w:r>
        <w:rPr>
          <w:rFonts w:ascii="Times New Roman;Times;Serif" w:hAnsi="Times New Roman;Times;Serif"/>
          <w:b w:val="false"/>
          <w:i w:val="false"/>
          <w:caps w:val="false"/>
          <w:smallCaps w:val="false"/>
          <w:sz w:val="20"/>
        </w:rPr>
        <w:t>”), subject to the Exchange Cap (as defined below) and other conditions and limitations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applicable Nasdaq rules, and absent stockholder approval or satisfaction of an “at-market” exception, the Company may not issue to B. Riley Principal Capital II under the B. Riley Agreements more than </w:t>
      </w:r>
      <w:bookmarkStart w:id="434" w:name="xdx_907_eus-gaap--StockIssuedDuringPerio"/>
      <w:bookmarkEnd w:id="434"/>
      <w:r>
        <w:rPr>
          <w:rFonts w:ascii="Times New Roman;Times;Serif" w:hAnsi="Times New Roman;Times;Serif"/>
          <w:b w:val="false"/>
          <w:i w:val="false"/>
          <w:caps w:val="false"/>
          <w:smallCaps w:val="false"/>
          <w:sz w:val="20"/>
        </w:rPr>
        <w:t xml:space="preserve">1,972,924 shares of Common Stock, which represents </w:t>
      </w:r>
      <w:bookmarkStart w:id="435" w:name="xdx_90D_ecustom--PercentageOfCommonShare"/>
      <w:bookmarkEnd w:id="435"/>
      <w:r>
        <w:rPr>
          <w:rFonts w:ascii="Times New Roman;Times;Serif" w:hAnsi="Times New Roman;Times;Serif"/>
          <w:b w:val="false"/>
          <w:i w:val="false"/>
          <w:caps w:val="false"/>
          <w:smallCaps w:val="false"/>
          <w:sz w:val="20"/>
        </w:rPr>
        <w:t>19.99% of the Common Stock outstanding immediately prior to the execution of the B. Riley Agreements (the “</w:t>
      </w:r>
      <w:r>
        <w:rPr>
          <w:rFonts w:ascii="Times New Roman;Times;Serif" w:hAnsi="Times New Roman;Times;Serif"/>
          <w:b/>
          <w:i w:val="false"/>
          <w:caps w:val="false"/>
          <w:smallCaps w:val="false"/>
          <w:sz w:val="20"/>
        </w:rPr>
        <w:t>Exchange Cap</w:t>
      </w:r>
      <w:r>
        <w:rPr>
          <w:rFonts w:ascii="Times New Roman;Times;Serif" w:hAnsi="Times New Roman;Times;Serif"/>
          <w:b w:val="false"/>
          <w:i w:val="false"/>
          <w:caps w:val="false"/>
          <w:smallCaps w:val="false"/>
          <w:sz w:val="20"/>
        </w:rPr>
        <w:t>”). In addition, B. Riley Principal Capital II may not acquire shares under the B. Riley Agreements to the extent such issuances would result in B. Riley Principal Capital II and its affiliates beneficially owning more than 4.99% of Stardust’s outstanding common stock (the “</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as determined under Section 13(d) of the Exchange Act and Rule 13d-3 thereunder. The Company evaluated the B. Riley Agreements to determine whether they should be accounted for considering the guidance in ASC 815-40 and concluded that it is an equity-linked contract that does not qualify for equity classification and therefore requires fair value accounting as a derivative. The Company has analyzed the terms of the freestanding purchased put right and has concluded that it had insignificant value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shares of Common Stock to be sold under the B. Riley Agreements, is determined by reference to the VWAP of the Common Stock over specified VWAP or Intraday VWAP Purchase Periods on the applicable purchase dates, less a fixed 3% discount to such VWAP, and subject to daily volume-based limits, the Exchange Cap, the Beneficial Ownership Limitation and a minimum Threshold Price condition with terms as defined in the B. Riley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entering into the B. Riley Agreements, the Company agreed to reimburse B. Riley Principal Capital II for certain fees and expenses, including (i) a Qualified Independent Underwriter (“</w:t>
      </w:r>
      <w:r>
        <w:rPr>
          <w:rFonts w:ascii="Times New Roman;Times;Serif" w:hAnsi="Times New Roman;Times;Serif"/>
          <w:b/>
          <w:i w:val="false"/>
          <w:caps w:val="false"/>
          <w:smallCaps w:val="false"/>
          <w:sz w:val="20"/>
        </w:rPr>
        <w:t>QIU</w:t>
      </w:r>
      <w:r>
        <w:rPr>
          <w:rFonts w:ascii="Times New Roman;Times;Serif" w:hAnsi="Times New Roman;Times;Serif"/>
          <w:b w:val="false"/>
          <w:i w:val="false"/>
          <w:caps w:val="false"/>
          <w:smallCaps w:val="false"/>
          <w:sz w:val="20"/>
        </w:rPr>
        <w:t>”) fee and initial legal fee reimbursements payable at or around Closing and Commencement (as defined in the B. Riley Agreements) and (ii) ongoing quarterly legal fee reimbursements for B. Riley Principal Capital II’s due-diligence and related matters. The Company also agreed that a fully earned, non-refundable Prior Transaction Cash Holdback Amount of $</w:t>
      </w:r>
      <w:bookmarkStart w:id="436" w:name="xdx_903_eus-gaap--SaleOfStockConsiderati"/>
      <w:bookmarkEnd w:id="436"/>
      <w:r>
        <w:rPr>
          <w:rFonts w:ascii="Times New Roman;Times;Serif" w:hAnsi="Times New Roman;Times;Serif"/>
          <w:b w:val="false"/>
          <w:i w:val="false"/>
          <w:caps w:val="false"/>
          <w:smallCaps w:val="false"/>
          <w:sz w:val="20"/>
        </w:rPr>
        <w:t xml:space="preserve">157,314, relating to a prior terminated transaction with B. Riley Principal Capital II, will be funded by allowing B. Riley Principal Capital II to withhold </w:t>
      </w:r>
      <w:bookmarkStart w:id="437" w:name="xdx_905_ecustom--GrossPurchasePriceWithh"/>
      <w:bookmarkEnd w:id="437"/>
      <w:r>
        <w:rPr>
          <w:rFonts w:ascii="Times New Roman;Times;Serif" w:hAnsi="Times New Roman;Times;Serif"/>
          <w:b w:val="false"/>
          <w:i w:val="false"/>
          <w:caps w:val="false"/>
          <w:smallCaps w:val="false"/>
          <w:sz w:val="20"/>
        </w:rPr>
        <w:t>10% of the gross purchase price on each VWAP or Intraday VWAP Purchase under the new facility until cumulative withholdings equal to $</w:t>
      </w:r>
      <w:bookmarkStart w:id="438" w:name="xdx_902_eus-gaap--SaleOfStockConsiderati"/>
      <w:bookmarkEnd w:id="438"/>
      <w:r>
        <w:rPr>
          <w:rFonts w:ascii="Times New Roman;Times;Serif" w:hAnsi="Times New Roman;Times;Serif"/>
          <w:b w:val="false"/>
          <w:i w:val="false"/>
          <w:caps w:val="false"/>
          <w:smallCaps w:val="false"/>
          <w:sz w:val="20"/>
        </w:rPr>
        <w:t>157,314. If the Company fails to pay in full this Prior Transaction Cash Holdback Amount on or before September 30, 2026, the Company will also be obligated to pay B. Riley Principal Capital II a one-time non-refundable commitment fee of up to $</w:t>
      </w:r>
      <w:bookmarkStart w:id="439" w:name="xdx_909_ecustom--CommitmentFee_c20260212"/>
      <w:bookmarkEnd w:id="439"/>
      <w:r>
        <w:rPr>
          <w:rFonts w:ascii="Times New Roman;Times;Serif" w:hAnsi="Times New Roman;Times;Serif"/>
          <w:b w:val="false"/>
          <w:i w:val="false"/>
          <w:caps w:val="false"/>
          <w:smallCaps w:val="false"/>
          <w:sz w:val="20"/>
        </w:rPr>
        <w:t>100,000, in accordance with the terms of the B. Riley Agreements. In May 2026, the Company received an invoice for the Holdback Amount of $</w:t>
      </w:r>
      <w:bookmarkStart w:id="440" w:name="xdx_909_ecustom--CommitmentFee_c20260501"/>
      <w:bookmarkEnd w:id="440"/>
      <w:r>
        <w:rPr>
          <w:rFonts w:ascii="Times New Roman;Times;Serif" w:hAnsi="Times New Roman;Times;Serif"/>
          <w:b w:val="false"/>
          <w:i w:val="false"/>
          <w:caps w:val="false"/>
          <w:smallCaps w:val="false"/>
          <w:sz w:val="20"/>
        </w:rPr>
        <w:t>157,314 and made a cash payment of $</w:t>
      </w:r>
      <w:bookmarkStart w:id="441" w:name="xdx_90A_eus-gaap--Cash_iI_c20260531__us-"/>
      <w:bookmarkEnd w:id="441"/>
      <w:r>
        <w:rPr>
          <w:rFonts w:ascii="Times New Roman;Times;Serif" w:hAnsi="Times New Roman;Times;Serif"/>
          <w:b w:val="false"/>
          <w:i w:val="false"/>
          <w:caps w:val="false"/>
          <w:smallCaps w:val="false"/>
          <w:sz w:val="20"/>
        </w:rPr>
        <w:t>75,000.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shares that may be issued to B. Riley Principal Capital II under this facility, the Company has issued and may continue to issue additional shares of its Common Stock from time to time in separate transactions, which may result in further dilution to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2026, the Company issued </w:t>
      </w:r>
      <w:bookmarkStart w:id="442" w:name="xdx_908_eus-gaap--StockIssuedDuringPerio"/>
      <w:bookmarkEnd w:id="442"/>
      <w:r>
        <w:rPr>
          <w:rFonts w:ascii="Times New Roman;Times;Serif" w:hAnsi="Times New Roman;Times;Serif"/>
          <w:b w:val="false"/>
          <w:i w:val="false"/>
          <w:caps w:val="false"/>
          <w:smallCaps w:val="false"/>
          <w:sz w:val="20"/>
        </w:rPr>
        <w:t xml:space="preserve">476,799 and </w:t>
      </w:r>
      <w:bookmarkStart w:id="443" w:name="xdx_903_eus-gaap--StockIssuedDuringPerio"/>
      <w:bookmarkEnd w:id="443"/>
      <w:r>
        <w:rPr>
          <w:rFonts w:ascii="Times New Roman;Times;Serif" w:hAnsi="Times New Roman;Times;Serif"/>
          <w:b w:val="false"/>
          <w:i w:val="false"/>
          <w:caps w:val="false"/>
          <w:smallCaps w:val="false"/>
          <w:sz w:val="20"/>
        </w:rPr>
        <w:t>505,866 shares of Common Stock aggregating to net proceeds of $</w:t>
      </w:r>
      <w:bookmarkStart w:id="444" w:name="xdx_900_eus-gaap--ProceedsFromIssuanceOf"/>
      <w:bookmarkEnd w:id="444"/>
      <w:r>
        <w:rPr>
          <w:rFonts w:ascii="Times New Roman;Times;Serif" w:hAnsi="Times New Roman;Times;Serif"/>
          <w:b w:val="false"/>
          <w:i w:val="false"/>
          <w:caps w:val="false"/>
          <w:smallCaps w:val="false"/>
          <w:sz w:val="20"/>
        </w:rPr>
        <w:t>1,216,711 and $</w:t>
      </w:r>
      <w:bookmarkStart w:id="445" w:name="xdx_909_eus-gaap--ProceedsFromIssuanceOf"/>
      <w:bookmarkEnd w:id="445"/>
      <w:r>
        <w:rPr>
          <w:rFonts w:ascii="Times New Roman;Times;Serif" w:hAnsi="Times New Roman;Times;Serif"/>
          <w:b w:val="false"/>
          <w:i w:val="false"/>
          <w:caps w:val="false"/>
          <w:smallCaps w:val="false"/>
          <w:sz w:val="20"/>
        </w:rPr>
        <w:t>1,310,904,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At-the-Market Issuance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Company entered into the Sales Agreement with the Agent, pursuant to which the Company may issue and sell the Placement Shares from time to time, in its sole discretion, through the ATM Offering, through or to the Agent acting as sales agent or principal. The ATM Offering is registered under the Company’s shelf registration statement on Form S-3 (File No. 333-294938), which has been declared effective by the SEC. The Company has filed a Prospectus Supplement specifically relating to the Placement Shares. The Company is not obligated to sell any shares under the Sales Agreement and may suspend or terminate the Sales Agreement at any time. The Company’s ability to raise capital through sales of Placement Shares under the Sales Agreement is subject to, among other things, the continued effectiveness of the shelf registration statement and related Prospectus Supplement and market conditions, including the trading price and trading volume of the Company’s common stock, and the Company may be unable to sell Placement Shares at times, or on terms, that are acceptable to the Company.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the Placement Shares, if any, will be made by means of ordinary brokers’ transactions on the Nasdaq Capital Market or any other existing trading market for the Company’s common stock, in negotiated transactions, or by any other method permitted by law deemed to be an “at the market offering” as defined in Rule 415(a)(4) under the Securities Act of 1933, as amended. Under the terms of the Sales Agreement, the Agent may also purchase Placement Shares as principal for its own account at a price to be agreed upon at the time of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Agent will be entitled to compensation under the terms of the Sales Agreement at a commission rate equal to up to </w:t>
      </w:r>
      <w:bookmarkStart w:id="446" w:name="xdx_90E_eus-gaap--SaleOfStockPercentageO"/>
      <w:bookmarkEnd w:id="446"/>
      <w:r>
        <w:rPr>
          <w:rFonts w:ascii="Times New Roman;Times;Serif" w:hAnsi="Times New Roman;Times;Serif"/>
          <w:b w:val="false"/>
          <w:i w:val="false"/>
          <w:caps w:val="false"/>
          <w:smallCaps w:val="false"/>
          <w:sz w:val="20"/>
        </w:rPr>
        <w:t>3.0% of the gross proceeds of the sales price of common stock that it sells as Agent and up to</w:t>
      </w:r>
      <w:bookmarkStart w:id="447" w:name="xdx_902_eus-gaap--SaleOfStockPercentageO"/>
      <w:bookmarkEnd w:id="447"/>
      <w:r>
        <w:rPr>
          <w:rFonts w:ascii="Times New Roman;Times;Serif" w:hAnsi="Times New Roman;Times;Serif"/>
          <w:b w:val="false"/>
          <w:i w:val="false"/>
          <w:caps w:val="false"/>
          <w:smallCaps w:val="false"/>
          <w:sz w:val="20"/>
        </w:rPr>
        <w:t xml:space="preserve"> 5.0% of the gross proceeds of the sales price of common stock sold to the Agent as principal. In connection with entering into the Sales Agreement, the Company agreed to reimburse the Agent for certain fees and expenses, reasonable and documented legal, filing and other direct offering costs, including reimbursement of Agent counsel fees not to exceed $</w:t>
      </w:r>
      <w:bookmarkStart w:id="448" w:name="xdx_90F_eus-gaap--LegalFees_c20260508__2"/>
      <w:bookmarkEnd w:id="448"/>
      <w:r>
        <w:rPr>
          <w:rFonts w:ascii="Times New Roman;Times;Serif" w:hAnsi="Times New Roman;Times;Serif"/>
          <w:b w:val="false"/>
          <w:i w:val="false"/>
          <w:caps w:val="false"/>
          <w:smallCaps w:val="false"/>
          <w:sz w:val="20"/>
        </w:rPr>
        <w:t>50,000 in connection with the execution of the Sales Agreement and $</w:t>
      </w:r>
      <w:bookmarkStart w:id="449" w:name="xdx_902_eus-gaap--ExchangeFees_c20260508"/>
      <w:bookmarkEnd w:id="449"/>
      <w:r>
        <w:rPr>
          <w:rFonts w:ascii="Times New Roman;Times;Serif" w:hAnsi="Times New Roman;Times;Serif"/>
          <w:b w:val="false"/>
          <w:i w:val="false"/>
          <w:caps w:val="false"/>
          <w:smallCaps w:val="false"/>
          <w:sz w:val="20"/>
        </w:rPr>
        <w:t>5,000 per calendar quarter thereafter for ongoing representation updates. During the three months ended June 30, 2026, the Company incurred legal and professional fees of $</w:t>
      </w:r>
      <w:bookmarkStart w:id="450" w:name="xdx_909_eus-gaap--ProfessionalFees_c2026"/>
      <w:bookmarkEnd w:id="450"/>
      <w:r>
        <w:rPr>
          <w:rFonts w:ascii="Times New Roman;Times;Serif" w:hAnsi="Times New Roman;Times;Serif"/>
          <w:b w:val="false"/>
          <w:i w:val="false"/>
          <w:caps w:val="false"/>
          <w:smallCaps w:val="false"/>
          <w:sz w:val="20"/>
        </w:rPr>
        <w:t>107,875 in connection with entering into the Sales Agreement, which was capitalized as deferred offering costs and will be allocated against proceeds as shares are sold. Of this amount $</w:t>
      </w:r>
      <w:bookmarkStart w:id="451" w:name="xdx_900_eus-gaap--DeferredOfferingCosts_"/>
      <w:bookmarkEnd w:id="451"/>
      <w:r>
        <w:rPr>
          <w:rFonts w:ascii="Times New Roman;Times;Serif" w:hAnsi="Times New Roman;Times;Serif"/>
          <w:b w:val="false"/>
          <w:i w:val="false"/>
          <w:caps w:val="false"/>
          <w:smallCaps w:val="false"/>
          <w:sz w:val="20"/>
        </w:rPr>
        <w:t>3,584 was allocated against proceeds as shares are sold during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the Sales Agreement and the Placement Shares issued thereunder in accordance with applicable accounting guidance. The Company determined that the Sales Agreement is not within the scope of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as it does not embody an unconditional obligation to repurchase the Company’s equity shares, an obligation to settle by transferring assets, or an obligation to issue a variable number of shares for a fixed monetary amount. The Sales Agreement was further evaluated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ASC 815-40, </w:t>
      </w:r>
      <w:r>
        <w:rPr>
          <w:rFonts w:ascii="Times New Roman;Times;Serif" w:hAnsi="Times New Roman;Times;Serif"/>
          <w:b w:val="false"/>
          <w:i/>
          <w:caps w:val="false"/>
          <w:smallCaps w:val="false"/>
          <w:sz w:val="20"/>
        </w:rPr>
        <w:t>Contracts in an Entity’s Own Equity</w:t>
      </w:r>
      <w:r>
        <w:rPr>
          <w:rFonts w:ascii="Times New Roman;Times;Serif" w:hAnsi="Times New Roman;Times;Serif"/>
          <w:b w:val="false"/>
          <w:i w:val="false"/>
          <w:caps w:val="false"/>
          <w:smallCaps w:val="false"/>
          <w:sz w:val="20"/>
        </w:rPr>
        <w:t>. The Company concluded that the Sales Agreement is not a derivative instrument and does not contain any features that require bifurcation as embedded derivatives. The Sales Agreement is indexed to the Company’s own equity and satisfies all conditions for equity classification under ASC 815-40. Accordingly, the Placement Shares issued under the ATM Offering are classified as permanent equity in the accompanying condensed consolidated balance sheets, and no derivative liability has been recognized in connection with the Sales Agreement or the ATM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the Company sold an aggregate of </w:t>
      </w:r>
      <w:bookmarkStart w:id="452" w:name="xdx_901_eus-gaap--SaleOfStockNumberOfSha"/>
      <w:bookmarkEnd w:id="452"/>
      <w:r>
        <w:rPr>
          <w:rFonts w:ascii="Times New Roman;Times;Serif" w:hAnsi="Times New Roman;Times;Serif"/>
          <w:b w:val="false"/>
          <w:i w:val="false"/>
          <w:caps w:val="false"/>
          <w:smallCaps w:val="false"/>
          <w:sz w:val="20"/>
        </w:rPr>
        <w:t>79,503 shares of Common Stock at a weighted average price per share of $</w:t>
      </w:r>
      <w:bookmarkStart w:id="453" w:name="xdx_908_eus-gaap--ShareBasedCompensation"/>
      <w:bookmarkEnd w:id="453"/>
      <w:r>
        <w:rPr>
          <w:rFonts w:ascii="Times New Roman;Times;Serif" w:hAnsi="Times New Roman;Times;Serif"/>
          <w:b w:val="false"/>
          <w:i w:val="false"/>
          <w:caps w:val="false"/>
          <w:smallCaps w:val="false"/>
          <w:sz w:val="20"/>
        </w:rPr>
        <w:t>2.09, aggregating to net proceeds of $</w:t>
      </w:r>
      <w:bookmarkStart w:id="454" w:name="xdx_90A_eus-gaap--ProceedsFromIssuanceOf"/>
      <w:bookmarkEnd w:id="454"/>
      <w:r>
        <w:rPr>
          <w:rFonts w:ascii="Times New Roman;Times;Serif" w:hAnsi="Times New Roman;Times;Serif"/>
          <w:b w:val="false"/>
          <w:i w:val="false"/>
          <w:caps w:val="false"/>
          <w:smallCaps w:val="false"/>
          <w:sz w:val="20"/>
        </w:rPr>
        <w:t xml:space="preserve">161,032, after deducting commissions and other offering expenses. Subsequent to quarter end, the Company sold </w:t>
      </w:r>
      <w:bookmarkStart w:id="455" w:name="xdx_904_eus-gaap--SaleOfStockNumberOfSha"/>
      <w:bookmarkEnd w:id="455"/>
      <w:r>
        <w:rPr>
          <w:rFonts w:ascii="Times New Roman;Times;Serif" w:hAnsi="Times New Roman;Times;Serif"/>
          <w:b w:val="false"/>
          <w:i w:val="false"/>
          <w:caps w:val="false"/>
          <w:smallCaps w:val="false"/>
          <w:sz w:val="20"/>
        </w:rPr>
        <w:t xml:space="preserve">2,080,364 shares of Common Stock aggregating to net proceeds of </w:t>
      </w:r>
      <w:bookmarkStart w:id="456" w:name="xdx_903_ecustom--NetProceedsFromSaleOfSt"/>
      <w:bookmarkEnd w:id="456"/>
      <w:r>
        <w:rPr>
          <w:rFonts w:ascii="Times New Roman;Times;Serif" w:hAnsi="Times New Roman;Times;Serif"/>
          <w:b w:val="false"/>
          <w:i w:val="false"/>
          <w:caps w:val="false"/>
          <w:smallCaps w:val="false"/>
          <w:sz w:val="20"/>
        </w:rPr>
        <w:t>2,950,989. The Company intends to use the net proceeds from sales of Placement Shares under the Sales Agreement for general corporate purposes, including working capital, capital expenditures, and advancement of its lithium refinery project in Muskogee, Oklahoma.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ATM offering program, the Company has agreed to indemnify the Agent against losses arising from material misstatements or omissions in the Registration Statement or Prospectus, excluding losses attributable to information furnished in writing by the Agent. If indemnification is unavailable, contribution will be allocated based on relative benefits received (Net Proceeds to the Company vs. commissions to the Agent), with the Agent’s contribution capped at total commissions received. These obligations survive termination of the sales agreement. As of June 30, 2026, no claims have been asserted, and the Company does not believe a loss is probable; accordingly, no liability has been accrued.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Offering and Warrant Inducement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the Company completed two public offerings generating gross proceeds of $</w:t>
      </w:r>
      <w:bookmarkStart w:id="457" w:name="xdx_90D_eus-gaap--ProceedsFromIssuanceOf"/>
      <w:bookmarkEnd w:id="457"/>
      <w:r>
        <w:rPr>
          <w:rFonts w:ascii="Times New Roman;Times;Serif" w:hAnsi="Times New Roman;Times;Serif"/>
          <w:b w:val="false"/>
          <w:i w:val="false"/>
          <w:caps w:val="false"/>
          <w:smallCaps w:val="false"/>
          <w:sz w:val="20"/>
        </w:rPr>
        <w:t>5,750,400 (January 2025), approximately $</w:t>
      </w:r>
      <w:bookmarkStart w:id="458" w:name="xdx_90B_eus-gaap--ProceedsFromIssuanceOf"/>
      <w:bookmarkEnd w:id="458"/>
      <w:r>
        <w:rPr>
          <w:rFonts w:ascii="Times New Roman;Times;Serif" w:hAnsi="Times New Roman;Times;Serif"/>
          <w:b w:val="false"/>
          <w:i w:val="false"/>
          <w:caps w:val="false"/>
          <w:smallCaps w:val="false"/>
          <w:sz w:val="20"/>
        </w:rPr>
        <w:t>4,520,000 (June 2025, inclusive of a partially exercised over-allotment option) and a warrant inducement transaction generating gross proceeds of $</w:t>
      </w:r>
      <w:bookmarkStart w:id="459" w:name="xdx_903_eus-gaap--ProceedsFromIssuanceOf"/>
      <w:bookmarkEnd w:id="459"/>
      <w:r>
        <w:rPr>
          <w:rFonts w:ascii="Times New Roman;Times;Serif" w:hAnsi="Times New Roman;Times;Serif"/>
          <w:b w:val="false"/>
          <w:i w:val="false"/>
          <w:caps w:val="false"/>
          <w:smallCaps w:val="false"/>
          <w:sz w:val="20"/>
        </w:rPr>
        <w:t>2,971,040 (March 2025). No warrants issued in these transactions remain outstanding as of June 30, 2026. These transactions, and the October 2025 warrant exchange in which the Inducement Warrants were exchanged for shares and cancelled, are described in greater detail in Note 6 to the Company’s Form 10-K.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KMX Licensing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7, 2025, the Company executed the License Agreement with KMX. Under the terms of the License Agreement, KMX agreed to irrevocably license to the Company the use of KMX’s VMD Technology and associated processes and systems (including KMX VMD Units) for the purpose of the Company’s use of the technology in its refining and upstream operations. Among other obligations set forth in the License Agreement, the Company shall be required to exclusively purchase all KMX VMD Units from KMX during the term of the License Agreement on the terms and conditions set forth therein. The License Agreement grants the Company the exclusive right to sublicense, use, market, sell and operate KMX’s VMD Technology across the United States, Canada and select international markets. As a consideration for this license, the Company agreed to pay KMX a royalty comprised of </w:t>
      </w:r>
      <w:bookmarkStart w:id="460" w:name="xdx_901_eus-gaap--CommonStockCapitalShar"/>
      <w:bookmarkEnd w:id="460"/>
      <w:r>
        <w:rPr>
          <w:rFonts w:ascii="Times New Roman;Times;Serif" w:hAnsi="Times New Roman;Times;Serif"/>
          <w:b w:val="false"/>
          <w:i w:val="false"/>
          <w:caps w:val="false"/>
          <w:smallCaps w:val="false"/>
          <w:sz w:val="20"/>
        </w:rPr>
        <w:t>50,000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License Agreement Effective Date, the license did not meet the recognition criteria for an intangible asset under U.S. GAAP, as it did not provide probable future economic benefits independent of the KMX VMD Units, which are expected to be acquired only upon the commencement of operations at the Company’s planned facility. Accordingly, the Company recognized $</w:t>
      </w:r>
      <w:bookmarkStart w:id="461" w:name="xdx_90D_eus-gaap--OtherLongTermDebt_iI_c"/>
      <w:bookmarkStart w:id="462" w:name="xdx_905_eus-gaap--OtherLongTermDebt_iI_c"/>
      <w:bookmarkEnd w:id="461"/>
      <w:bookmarkEnd w:id="462"/>
      <w:r>
        <w:rPr>
          <w:rFonts w:ascii="Times New Roman;Times;Serif" w:hAnsi="Times New Roman;Times;Serif"/>
          <w:b w:val="false"/>
          <w:i w:val="false"/>
          <w:caps w:val="false"/>
          <w:smallCaps w:val="false"/>
          <w:sz w:val="20"/>
        </w:rPr>
        <w:t>343,000 as other long-term assets on the audited and unaudited condensed consolidated balance sheets as of December 31, 2025 and June 30, 2026,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Vendor shares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30, 2025, the Company approved the issuance of </w:t>
      </w:r>
      <w:bookmarkStart w:id="463" w:name="xdx_90F_eus-gaap--StockIssuedDuringPerio"/>
      <w:bookmarkEnd w:id="463"/>
      <w:r>
        <w:rPr>
          <w:rFonts w:ascii="Times New Roman;Times;Serif" w:hAnsi="Times New Roman;Times;Serif"/>
          <w:b w:val="false"/>
          <w:i w:val="false"/>
          <w:caps w:val="false"/>
          <w:smallCaps w:val="false"/>
          <w:sz w:val="20"/>
        </w:rPr>
        <w:t>65,000 shares of Common Stock to a vendor for services to be rendered over a period of 12 months. The shares fully vested upon issuance and will be expensed as services are received. The Company recognized consulting expense of $</w:t>
      </w:r>
      <w:bookmarkStart w:id="464" w:name="xdx_908_ecustom--ConsultingExpense_c2026"/>
      <w:bookmarkEnd w:id="464"/>
      <w:r>
        <w:rPr>
          <w:rFonts w:ascii="Times New Roman;Times;Serif" w:hAnsi="Times New Roman;Times;Serif"/>
          <w:b w:val="false"/>
          <w:i w:val="false"/>
          <w:caps w:val="false"/>
          <w:smallCaps w:val="false"/>
          <w:sz w:val="20"/>
        </w:rPr>
        <w:t>75,562 and $</w:t>
      </w:r>
      <w:bookmarkStart w:id="465" w:name="xdx_90D_ecustom--ConsultingExpense_c2026"/>
      <w:bookmarkEnd w:id="465"/>
      <w:r>
        <w:rPr>
          <w:rFonts w:ascii="Times New Roman;Times;Serif" w:hAnsi="Times New Roman;Times;Serif"/>
          <w:b w:val="false"/>
          <w:i w:val="false"/>
          <w:caps w:val="false"/>
          <w:smallCaps w:val="false"/>
          <w:sz w:val="20"/>
        </w:rPr>
        <w:t>151,128 for the three and six months ended June 30, 2026, and a prepaid expense of $</w:t>
      </w:r>
      <w:bookmarkStart w:id="466" w:name="xdx_903_eus-gaap--PrepaidExpenseCurrentA"/>
      <w:bookmarkEnd w:id="466"/>
      <w:r>
        <w:rPr>
          <w:rFonts w:ascii="Times New Roman;Times;Serif" w:hAnsi="Times New Roman;Times;Serif"/>
          <w:b w:val="false"/>
          <w:i w:val="false"/>
          <w:caps w:val="false"/>
          <w:smallCaps w:val="false"/>
          <w:sz w:val="20"/>
        </w:rPr>
        <w:t>226,688 and $</w:t>
      </w:r>
      <w:bookmarkStart w:id="467" w:name="xdx_90C_eus-gaap--PrepaidExpenseCurrentA"/>
      <w:bookmarkEnd w:id="467"/>
      <w:r>
        <w:rPr>
          <w:rFonts w:ascii="Times New Roman;Times;Serif" w:hAnsi="Times New Roman;Times;Serif"/>
          <w:b w:val="false"/>
          <w:i w:val="false"/>
          <w:caps w:val="false"/>
          <w:smallCaps w:val="false"/>
          <w:sz w:val="20"/>
        </w:rPr>
        <w:t>75,560 as of December 31, 2025 and June 30, 2026, respectively. The corresponding amounts were recorded as an increase to additional paid-in capital. During the quarter ended June 30, 2026, the Company issued the shares to the vendor.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Private Placement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entered into binding term sheets with certain investors (“</w:t>
      </w:r>
      <w:r>
        <w:rPr>
          <w:rFonts w:ascii="Times New Roman;Times;Serif" w:hAnsi="Times New Roman;Times;Serif"/>
          <w:b/>
          <w:i w:val="false"/>
          <w:caps w:val="false"/>
          <w:smallCaps w:val="false"/>
          <w:sz w:val="20"/>
        </w:rPr>
        <w:t>2024 Investors</w:t>
      </w:r>
      <w:r>
        <w:rPr>
          <w:rFonts w:ascii="Times New Roman;Times;Serif" w:hAnsi="Times New Roman;Times;Serif"/>
          <w:b w:val="false"/>
          <w:i w:val="false"/>
          <w:caps w:val="false"/>
          <w:smallCaps w:val="false"/>
          <w:sz w:val="20"/>
        </w:rPr>
        <w:t>”) pursuant to which the Company agreed to sell, and the 2024 Investors agreed to purchase, Company securities for an aggregate amount of $</w:t>
      </w:r>
      <w:bookmarkStart w:id="468" w:name="xdx_90D_eus-gaap--SaleOfStockConsiderati"/>
      <w:bookmarkEnd w:id="468"/>
      <w:r>
        <w:rPr>
          <w:rFonts w:ascii="Times New Roman;Times;Serif" w:hAnsi="Times New Roman;Times;Serif"/>
          <w:b w:val="false"/>
          <w:i w:val="false"/>
          <w:caps w:val="false"/>
          <w:smallCaps w:val="false"/>
          <w:sz w:val="20"/>
        </w:rPr>
        <w:t>550,000 (the “</w:t>
      </w:r>
      <w:r>
        <w:rPr>
          <w:rFonts w:ascii="Times New Roman;Times;Serif" w:hAnsi="Times New Roman;Times;Serif"/>
          <w:b/>
          <w:i w:val="false"/>
          <w:caps w:val="false"/>
          <w:smallCaps w:val="false"/>
          <w:sz w:val="20"/>
        </w:rPr>
        <w:t>Private Placement</w:t>
      </w:r>
      <w:r>
        <w:rPr>
          <w:rFonts w:ascii="Times New Roman;Times;Serif" w:hAnsi="Times New Roman;Times;Serif"/>
          <w:b w:val="false"/>
          <w:i w:val="false"/>
          <w:caps w:val="false"/>
          <w:smallCaps w:val="false"/>
          <w:sz w:val="20"/>
        </w:rPr>
        <w:t>”). The 2024 Investors agreed to purchase, and the Company agreed to issue and sell, up to $</w:t>
      </w:r>
      <w:bookmarkStart w:id="469" w:name="xdx_90D_eus-gaap--SaleOfStockConsiderati"/>
      <w:bookmarkEnd w:id="469"/>
      <w:r>
        <w:rPr>
          <w:rFonts w:ascii="Times New Roman;Times;Serif" w:hAnsi="Times New Roman;Times;Serif"/>
          <w:b w:val="false"/>
          <w:i w:val="false"/>
          <w:caps w:val="false"/>
          <w:smallCaps w:val="false"/>
          <w:sz w:val="20"/>
        </w:rPr>
        <w:t>550,000 in shares of Common Stock at a price equal to 95% of the closing bid price of the Common Stock on the last trading day prior to the closing date for the Private Placement. In addition, each 2024 Investor will receive warrants representing the right, exercisable within five years of the closing date, to purchase up to 50% of the shares of Common Stock purchased by such 2024 Investor in the Private Placement, with 10 warrants exercisable for one share of Common Stock at an exercise price of $</w:t>
      </w:r>
      <w:bookmarkStart w:id="470" w:name="xdx_90C_eus-gaap--ClassOfWarrantOrRightE"/>
      <w:bookmarkEnd w:id="470"/>
      <w:r>
        <w:rPr>
          <w:rFonts w:ascii="Times New Roman;Times;Serif" w:hAnsi="Times New Roman;Times;Serif"/>
          <w:b w:val="false"/>
          <w:i w:val="false"/>
          <w:caps w:val="false"/>
          <w:smallCaps w:val="false"/>
          <w:sz w:val="20"/>
        </w:rPr>
        <w:t>115.00. The Company received proceeds of $</w:t>
      </w:r>
      <w:bookmarkStart w:id="471" w:name="xdx_90D_eus-gaap--SaleOfStockConsiderati"/>
      <w:bookmarkEnd w:id="471"/>
      <w:r>
        <w:rPr>
          <w:rFonts w:ascii="Times New Roman;Times;Serif" w:hAnsi="Times New Roman;Times;Serif"/>
          <w:b w:val="false"/>
          <w:i w:val="false"/>
          <w:caps w:val="false"/>
          <w:smallCaps w:val="false"/>
          <w:sz w:val="20"/>
        </w:rPr>
        <w:t>425,000 in December 2024 and additional proceeds of $</w:t>
      </w:r>
      <w:bookmarkStart w:id="472" w:name="xdx_903_eus-gaap--SaleOfStockConsiderati"/>
      <w:bookmarkEnd w:id="472"/>
      <w:r>
        <w:rPr>
          <w:rFonts w:ascii="Times New Roman;Times;Serif" w:hAnsi="Times New Roman;Times;Serif"/>
          <w:b w:val="false"/>
          <w:i w:val="false"/>
          <w:caps w:val="false"/>
          <w:smallCaps w:val="false"/>
          <w:sz w:val="20"/>
        </w:rPr>
        <w:t xml:space="preserve">125,000 in January 2025 from certain 2024 Investors. The Company had accounted for this transaction as Advance from PIPE investor for shares and warrants to be issued based on purchase agreement to be entered on the consolidated balance sheet as of December 31, 2024. On April 24, 2025, the Company issued </w:t>
      </w:r>
      <w:bookmarkStart w:id="473" w:name="xdx_90A_eus-gaap--StockIssuedDuringPerio"/>
      <w:bookmarkEnd w:id="473"/>
      <w:r>
        <w:rPr>
          <w:rFonts w:ascii="Times New Roman;Times;Serif" w:hAnsi="Times New Roman;Times;Serif"/>
          <w:b w:val="false"/>
          <w:i w:val="false"/>
          <w:caps w:val="false"/>
          <w:smallCaps w:val="false"/>
          <w:sz w:val="20"/>
        </w:rPr>
        <w:t xml:space="preserve">12,850 shares of Common Stock and </w:t>
      </w:r>
      <w:bookmarkStart w:id="474" w:name="xdx_90D_eus-gaap--StockIssuedDuringPerio"/>
      <w:bookmarkEnd w:id="474"/>
      <w:r>
        <w:rPr>
          <w:rFonts w:ascii="Times New Roman;Times;Serif" w:hAnsi="Times New Roman;Times;Serif"/>
          <w:b w:val="false"/>
          <w:i w:val="false"/>
          <w:caps w:val="false"/>
          <w:smallCaps w:val="false"/>
          <w:sz w:val="20"/>
        </w:rPr>
        <w:t>64,251 Warrants to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475" w:name="xdx_805_eus-gaap--DisclosureOfCompensati"/>
      <w:bookmarkEnd w:id="475"/>
      <w:r>
        <w:rPr>
          <w:rFonts w:ascii="Times New Roman;Times;Serif" w:hAnsi="Times New Roman;Times;Serif"/>
          <w:b/>
          <w:i w:val="false"/>
          <w:caps/>
          <w:sz w:val="20"/>
        </w:rPr>
        <w:t xml:space="preserve">NOTE 5 – </w:t>
      </w:r>
      <w:bookmarkStart w:id="476" w:name="xdx_82F_zwAU3kYo3vf4"/>
      <w:bookmarkEnd w:id="476"/>
      <w:r>
        <w:rPr>
          <w:rFonts w:ascii="Times New Roman;Times;Serif" w:hAnsi="Times New Roman;Times;Serif"/>
          <w:b/>
          <w:i w:val="false"/>
          <w:caps/>
          <w:sz w:val="20"/>
        </w:rPr>
        <w:t>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March 16, 2023 (inception), the Legacy Stardust Power stockholders approved the 2023 Equity Incentive Plan, and </w:t>
      </w:r>
      <w:bookmarkStart w:id="477" w:name="xdx_90A_eus-gaap--CommonStockCapitalShar"/>
      <w:bookmarkEnd w:id="477"/>
      <w:r>
        <w:rPr>
          <w:rFonts w:ascii="Times New Roman;Times;Serif" w:hAnsi="Times New Roman;Times;Serif"/>
          <w:b w:val="false"/>
          <w:i w:val="false"/>
          <w:caps w:val="false"/>
          <w:smallCaps w:val="false"/>
          <w:sz w:val="20"/>
        </w:rPr>
        <w:t xml:space="preserve">230,112 shares of the Company’s Common Stock were reserved for issuance thereunder. During the year ended December 31, 2024, the Board adopted a resolution to increase the number of shares of Common Stock authorized for issuance under the 2023 Equity Incentive Plan by </w:t>
      </w:r>
      <w:bookmarkStart w:id="478" w:name="xdx_906_eus-gaap--ShareBasedCompensation"/>
      <w:bookmarkEnd w:id="478"/>
      <w:r>
        <w:rPr>
          <w:rFonts w:ascii="Times New Roman;Times;Serif" w:hAnsi="Times New Roman;Times;Serif"/>
          <w:b w:val="false"/>
          <w:i w:val="false"/>
          <w:caps w:val="false"/>
          <w:smallCaps w:val="false"/>
          <w:sz w:val="20"/>
        </w:rPr>
        <w:t xml:space="preserve">115,056 shares of Common Stock. During the three and six months ended June 30, 2026, there were </w:t>
      </w:r>
      <w:bookmarkStart w:id="479" w:name="xdx_90D_eus-gaap--ShareBasedCompensation"/>
      <w:bookmarkStart w:id="480" w:name="xdx_90F_eus-gaap--ShareBasedCompensation"/>
      <w:bookmarkEnd w:id="479"/>
      <w:bookmarkEnd w:id="480"/>
      <w:r>
        <w:rPr>
          <w:rFonts w:ascii="Times New Roman;Times;Serif" w:hAnsi="Times New Roman;Times;Serif"/>
          <w:b w:val="false"/>
          <w:i w:val="false"/>
          <w:caps w:val="false"/>
          <w:smallCaps w:val="false"/>
          <w:sz w:val="20"/>
        </w:rPr>
        <w:t>no grants under the 2023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October and November 2023, Legacy Stardust Power granted stock options to purchase </w:t>
      </w:r>
      <w:bookmarkStart w:id="481" w:name="xdx_901_eus-gaap--ShareBasedCompensation"/>
      <w:bookmarkStart w:id="482" w:name="xdx_90E_eus-gaap--ShareBasedCompensation"/>
      <w:bookmarkEnd w:id="481"/>
      <w:bookmarkEnd w:id="482"/>
      <w:r>
        <w:rPr>
          <w:rFonts w:ascii="Times New Roman;Times;Serif" w:hAnsi="Times New Roman;Times;Serif"/>
          <w:b w:val="false"/>
          <w:i w:val="false"/>
          <w:caps w:val="false"/>
          <w:smallCaps w:val="false"/>
          <w:sz w:val="20"/>
        </w:rPr>
        <w:t>227,810 shares of Common Stock under the 2023 Equity Incentive Plan. All the options under the 2023 Equity Incentive Plan were early-exercised by grantees. Accordingly, the Company received a total amount of $</w:t>
      </w:r>
      <w:bookmarkStart w:id="483" w:name="xdx_90D_eus-gaap--ProceedsFromStockOptio"/>
      <w:bookmarkEnd w:id="483"/>
      <w:r>
        <w:rPr>
          <w:rFonts w:ascii="Times New Roman;Times;Serif" w:hAnsi="Times New Roman;Times;Serif"/>
          <w:b w:val="false"/>
          <w:i w:val="false"/>
          <w:caps w:val="false"/>
          <w:smallCaps w:val="false"/>
          <w:sz w:val="20"/>
        </w:rPr>
        <w:t>14,850 towards the early exercise of these options during the period from March 16, 2023 (inception) through December 31, 2023, and recorded a liability against the early exercise of these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early exercised shares liability amounting to $</w:t>
      </w:r>
      <w:bookmarkStart w:id="484" w:name="xdx_90C_ecustom--SharesExercisedOutstand"/>
      <w:bookmarkEnd w:id="484"/>
      <w:r>
        <w:rPr>
          <w:rFonts w:ascii="Times New Roman;Times;Serif" w:hAnsi="Times New Roman;Times;Serif"/>
          <w:b w:val="false"/>
          <w:i w:val="false"/>
          <w:caps w:val="false"/>
          <w:smallCaps w:val="false"/>
          <w:sz w:val="20"/>
        </w:rPr>
        <w:t>1,109 and $</w:t>
      </w:r>
      <w:bookmarkStart w:id="485" w:name="xdx_902_ecustom--SharesExercisedOutstand"/>
      <w:bookmarkEnd w:id="485"/>
      <w:r>
        <w:rPr>
          <w:rFonts w:ascii="Times New Roman;Times;Serif" w:hAnsi="Times New Roman;Times;Serif"/>
          <w:b w:val="false"/>
          <w:i w:val="false"/>
          <w:caps w:val="false"/>
          <w:smallCaps w:val="false"/>
          <w:sz w:val="20"/>
        </w:rPr>
        <w:t>1,735 is outstanding as at June 30, 2026, and December 31, 2025, respectively, and is presented under ‘Early exercised shares option liability’ on the unaudited condensed and audited consolidated balance sheets,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6" w:name="xdx_89A_eus-gaap--ScheduleOfShareBasedCo"/>
      <w:bookmarkEnd w:id="486"/>
      <w:r>
        <w:rPr>
          <w:rFonts w:ascii="Times New Roman;Times;Serif" w:hAnsi="Times New Roman;Times;Serif"/>
          <w:b w:val="false"/>
          <w:i w:val="false"/>
          <w:caps w:val="false"/>
          <w:smallCaps w:val="false"/>
          <w:sz w:val="20"/>
        </w:rPr>
        <w:t>Stock option activity for the six months ended June 30, 2026, and balances as at the end of June 30, 2026,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7" w:name="xdx_8BA_z5rnutJyCRug"/>
      <w:bookmarkEnd w:id="487"/>
      <w:r>
        <w:rPr>
          <w:rFonts w:ascii="Times New Roman;Times;Serif" w:hAnsi="Times New Roman;Times;Serif"/>
          <w:b w:val="false"/>
          <w:i w:val="false"/>
          <w:caps w:val="false"/>
          <w:smallCaps w:val="false"/>
          <w:sz w:val="20"/>
        </w:rPr>
        <w:t>SCHEDULE OF STOCK OPTION ACTIVITY </w:t>
      </w:r>
    </w:p>
    <w:tbl>
      <w:tblPr>
        <w:tblW w:w="8518" w:type="dxa"/>
        <w:jc w:val="left"/>
        <w:tblInd w:w="0" w:type="dxa"/>
        <w:tblLayout w:type="fixed"/>
        <w:tblCellMar>
          <w:top w:w="0" w:type="dxa"/>
          <w:left w:w="0" w:type="dxa"/>
          <w:bottom w:w="0" w:type="dxa"/>
          <w:right w:w="0" w:type="dxa"/>
        </w:tblCellMar>
      </w:tblPr>
      <w:tblGrid>
        <w:gridCol w:w="3380"/>
        <w:gridCol w:w="60"/>
        <w:gridCol w:w="74"/>
        <w:gridCol w:w="845"/>
        <w:gridCol w:w="95"/>
        <w:gridCol w:w="60"/>
        <w:gridCol w:w="236"/>
        <w:gridCol w:w="744"/>
        <w:gridCol w:w="60"/>
        <w:gridCol w:w="60"/>
        <w:gridCol w:w="141"/>
        <w:gridCol w:w="1034"/>
        <w:gridCol w:w="60"/>
        <w:gridCol w:w="60"/>
        <w:gridCol w:w="261"/>
        <w:gridCol w:w="1273"/>
        <w:gridCol w:w="75"/>
      </w:tblGrid>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Stock Options</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1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life (Years)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Intrinsic Value</w:t>
            </w:r>
          </w:p>
        </w:tc>
        <w:tc>
          <w:tcPr>
            <w:tcW w:w="75" w:type="dxa"/>
            <w:tcBorders/>
            <w:vAlign w:val="center"/>
          </w:tcPr>
          <w:p>
            <w:pPr>
              <w:pStyle w:val="TableContents"/>
              <w:bidi w:val="0"/>
              <w:spacing w:before="0" w:after="283"/>
              <w:jc w:val="center"/>
              <w:rPr/>
            </w:pPr>
            <w:r>
              <w:rPr/>
              <w:t> </w:t>
            </w:r>
          </w:p>
        </w:tc>
      </w:tr>
      <w:tr>
        <w:trPr/>
        <w:tc>
          <w:tcPr>
            <w:tcW w:w="3380" w:type="dxa"/>
            <w:tcBorders/>
            <w:shd w:fill="CCEEFF" w:val="clear"/>
            <w:vAlign w:val="center"/>
          </w:tcPr>
          <w:p>
            <w:pPr>
              <w:pStyle w:val="TableContents"/>
              <w:bidi w:val="0"/>
              <w:spacing w:before="0" w:after="283"/>
              <w:jc w:val="both"/>
              <w:rPr/>
            </w:pPr>
            <w:r>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bookmarkStart w:id="488" w:name="xdx_988_eus-gaap--ShareBasedCompensation"/>
            <w:bookmarkEnd w:id="488"/>
          </w:p>
        </w:tc>
        <w:tc>
          <w:tcPr>
            <w:tcW w:w="845" w:type="dxa"/>
            <w:tcBorders/>
            <w:shd w:fill="CCEEFF" w:val="clear"/>
            <w:vAlign w:val="center"/>
          </w:tcPr>
          <w:p>
            <w:pPr>
              <w:pStyle w:val="TableContents"/>
              <w:bidi w:val="0"/>
              <w:spacing w:before="0" w:after="283"/>
              <w:jc w:val="right"/>
              <w:rPr/>
            </w:pPr>
            <w:r>
              <w:rPr/>
              <w:t>26,560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bookmarkStart w:id="489" w:name="xdx_984_eus-gaap--ShareBasedCompensation"/>
            <w:bookmarkEnd w:id="489"/>
          </w:p>
        </w:tc>
        <w:tc>
          <w:tcPr>
            <w:tcW w:w="744" w:type="dxa"/>
            <w:tcBorders/>
            <w:shd w:fill="CCEEFF" w:val="clear"/>
            <w:vAlign w:val="center"/>
          </w:tcPr>
          <w:p>
            <w:pPr>
              <w:pStyle w:val="TableContents"/>
              <w:bidi w:val="0"/>
              <w:spacing w:before="0" w:after="283"/>
              <w:jc w:val="right"/>
              <w:rPr/>
            </w:pPr>
            <w:r>
              <w:rPr/>
              <w:t>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bookmarkStart w:id="490" w:name="xdx_908_eus-gaap--SharebasedCompensation"/>
            <w:bookmarkEnd w:id="490"/>
            <w:r>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bookmarkStart w:id="491" w:name="xdx_982_eus-gaap--ShareBasedCompensation"/>
            <w:bookmarkEnd w:id="491"/>
            <w:r>
              <w:rPr/>
              <w:t>79,548</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492" w:name="xdx_98F_eus-gaap--ShareBasedCompensation"/>
            <w:bookmarkEnd w:id="492"/>
          </w:p>
        </w:tc>
        <w:tc>
          <w:tcPr>
            <w:tcW w:w="8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bookmarkStart w:id="493" w:name="xdx_985_eus-gaap--ShareBasedCompensation"/>
            <w:bookmarkEnd w:id="493"/>
          </w:p>
        </w:tc>
        <w:tc>
          <w:tcPr>
            <w:tcW w:w="74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bookmarkStart w:id="494" w:name="xdx_986_ecustom--ShareBasedCompensationA"/>
            <w:bookmarkEnd w:id="494"/>
          </w:p>
        </w:tc>
        <w:tc>
          <w:tcPr>
            <w:tcW w:w="845" w:type="dxa"/>
            <w:tcBorders/>
            <w:shd w:fill="CCEEFF" w:val="clear"/>
            <w:vAlign w:val="center"/>
          </w:tcPr>
          <w:p>
            <w:pPr>
              <w:pStyle w:val="TableContents"/>
              <w:bidi w:val="0"/>
              <w:spacing w:before="0" w:after="283"/>
              <w:jc w:val="right"/>
              <w:rPr/>
            </w:pPr>
            <w:r>
              <w:rPr/>
              <w:t>(9,637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bookmarkStart w:id="495" w:name="xdx_98D_ecustom--ShareBasedCompensationA"/>
            <w:bookmarkEnd w:id="495"/>
          </w:p>
        </w:tc>
        <w:tc>
          <w:tcPr>
            <w:tcW w:w="744" w:type="dxa"/>
            <w:tcBorders/>
            <w:shd w:fill="CCEEFF" w:val="clear"/>
            <w:vAlign w:val="center"/>
          </w:tcPr>
          <w:p>
            <w:pPr>
              <w:pStyle w:val="TableContents"/>
              <w:bidi w:val="0"/>
              <w:spacing w:before="0" w:after="283"/>
              <w:jc w:val="right"/>
              <w:rPr/>
            </w:pPr>
            <w:r>
              <w:rPr/>
              <w:t>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6" w:name="xdx_981_eus-gaap--ShareBasedCompensation"/>
            <w:bookmarkEnd w:id="496"/>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7" w:name="xdx_988_eus-gaap--ShareBasedCompensation"/>
            <w:bookmarkEnd w:id="497"/>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Unvested as of June 30, 2026</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98" w:name="xdx_980_eus-gaap--ShareBasedCompensation"/>
            <w:bookmarkEnd w:id="498"/>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pPr>
            <w:r>
              <w:rPr/>
              <w:t>16,923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99" w:name="xdx_982_eus-gaap--ShareBasedCompensation"/>
            <w:bookmarkEnd w:id="499"/>
          </w:p>
        </w:tc>
        <w:tc>
          <w:tcPr>
            <w:tcW w:w="744" w:type="dxa"/>
            <w:tcBorders>
              <w:bottom w:val="double" w:sz="6" w:space="0" w:color="000000"/>
            </w:tcBorders>
            <w:shd w:fill="CCEEFF" w:val="clear"/>
            <w:tcMar>
              <w:bottom w:w="28" w:type="dxa"/>
            </w:tcMar>
            <w:vAlign w:val="center"/>
          </w:tcPr>
          <w:p>
            <w:pPr>
              <w:pStyle w:val="TableContents"/>
              <w:bidi w:val="0"/>
              <w:spacing w:before="0" w:after="283"/>
              <w:jc w:val="right"/>
              <w:rPr/>
            </w:pPr>
            <w:r>
              <w:rPr/>
              <w:t>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00" w:name="xdx_90F_eus-gaap--SharebasedCompensation"/>
            <w:bookmarkEnd w:id="500"/>
            <w:r>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01" w:name="xdx_982_eus-gaap--ShareBasedCompensation"/>
            <w:bookmarkEnd w:id="501"/>
            <w:r>
              <w:rPr/>
              <w:t>25,300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502" w:name="xdx_8A5_zeMFWm0qSoQd"/>
      <w:bookmarkEnd w:id="50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compensation expense for stock options recognized in the General and administrative expenses of the Company’s unaudited condensed consolidated statements of operations was $</w:t>
      </w:r>
      <w:bookmarkStart w:id="503" w:name="xdx_903_eus-gaap--GeneralAndAdministrati"/>
      <w:bookmarkEnd w:id="503"/>
      <w:r>
        <w:rPr>
          <w:rFonts w:ascii="Times New Roman;Times;Serif" w:hAnsi="Times New Roman;Times;Serif"/>
          <w:b w:val="false"/>
          <w:i w:val="false"/>
          <w:caps w:val="false"/>
          <w:smallCaps w:val="false"/>
          <w:sz w:val="20"/>
        </w:rPr>
        <w:t>50,171 and $</w:t>
      </w:r>
      <w:bookmarkStart w:id="504" w:name="xdx_901_eus-gaap--GeneralAndAdministrati"/>
      <w:bookmarkEnd w:id="504"/>
      <w:r>
        <w:rPr>
          <w:rFonts w:ascii="Times New Roman;Times;Serif" w:hAnsi="Times New Roman;Times;Serif"/>
          <w:b w:val="false"/>
          <w:i w:val="false"/>
          <w:caps w:val="false"/>
          <w:smallCaps w:val="false"/>
          <w:sz w:val="20"/>
        </w:rPr>
        <w:t>50,826 for the six months ended June 30, 2026, and 2025, respectively. The total compensation expense for stock options recognized in the General and administrative expenses of the Company’s unaudited condensed consolidated statements of operations were $</w:t>
      </w:r>
      <w:bookmarkStart w:id="505" w:name="xdx_907_eus-gaap--GeneralAndAdministrati"/>
      <w:bookmarkEnd w:id="505"/>
      <w:r>
        <w:rPr>
          <w:rFonts w:ascii="Times New Roman;Times;Serif" w:hAnsi="Times New Roman;Times;Serif"/>
          <w:b w:val="false"/>
          <w:i w:val="false"/>
          <w:caps w:val="false"/>
          <w:smallCaps w:val="false"/>
          <w:sz w:val="20"/>
        </w:rPr>
        <w:t>25,022 and $</w:t>
      </w:r>
      <w:bookmarkStart w:id="506" w:name="xdx_90E_eus-gaap--GeneralAndAdministrati"/>
      <w:bookmarkEnd w:id="506"/>
      <w:r>
        <w:rPr>
          <w:rFonts w:ascii="Times New Roman;Times;Serif" w:hAnsi="Times New Roman;Times;Serif"/>
          <w:b w:val="false"/>
          <w:i w:val="false"/>
          <w:caps w:val="false"/>
          <w:smallCaps w:val="false"/>
          <w:sz w:val="20"/>
        </w:rPr>
        <w:t>25,017 for the three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total unvested compensation cost for stock options granted to employees not yet recognized was $</w:t>
      </w:r>
      <w:bookmarkStart w:id="507" w:name="xdx_90F_eus-gaap--EmployeeServiceShareBa"/>
      <w:bookmarkEnd w:id="507"/>
      <w:r>
        <w:rPr>
          <w:rFonts w:ascii="Times New Roman;Times;Serif" w:hAnsi="Times New Roman;Times;Serif"/>
          <w:b w:val="false"/>
          <w:i w:val="false"/>
          <w:caps w:val="false"/>
          <w:smallCaps w:val="false"/>
          <w:sz w:val="20"/>
        </w:rPr>
        <w:t xml:space="preserve">92,769. The Company expects to recognize this compensation over a weighted average period of approximately </w:t>
      </w:r>
      <w:bookmarkStart w:id="508" w:name="xdx_903_eus-gaap--SharebasedCompensation"/>
      <w:bookmarkEnd w:id="508"/>
      <w:r>
        <w:rPr>
          <w:rFonts w:ascii="Times New Roman;Times;Serif" w:hAnsi="Times New Roman;Times;Serif"/>
          <w:b w:val="false"/>
          <w:i w:val="false"/>
          <w:caps w:val="false"/>
          <w:smallCaps w:val="false"/>
          <w:sz w:val="20"/>
        </w:rPr>
        <w:t>1.10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9" w:name="xdx_898_eus-gaap--ScheduleOfShareBasedCo"/>
      <w:bookmarkEnd w:id="509"/>
      <w:r>
        <w:rPr>
          <w:rFonts w:ascii="Times New Roman;Times;Serif" w:hAnsi="Times New Roman;Times;Serif"/>
          <w:b w:val="false"/>
          <w:i w:val="false"/>
          <w:caps w:val="false"/>
          <w:smallCaps w:val="false"/>
          <w:sz w:val="20"/>
        </w:rPr>
        <w:t>Restricted stock unit (“</w:t>
      </w:r>
      <w:r>
        <w:rPr>
          <w:rFonts w:ascii="Times New Roman;Times;Serif" w:hAnsi="Times New Roman;Times;Serif"/>
          <w:b/>
          <w:i w:val="false"/>
          <w:caps w:val="false"/>
          <w:smallCaps w:val="false"/>
          <w:sz w:val="20"/>
        </w:rPr>
        <w:t>RSU</w:t>
      </w:r>
      <w:r>
        <w:rPr>
          <w:rFonts w:ascii="Times New Roman;Times;Serif" w:hAnsi="Times New Roman;Times;Serif"/>
          <w:b w:val="false"/>
          <w:i w:val="false"/>
          <w:caps w:val="false"/>
          <w:smallCaps w:val="false"/>
          <w:sz w:val="20"/>
        </w:rPr>
        <w:t>”) activity for the six months ended June 30, 2026, and balances as at June 30, 2026,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0" w:name="xdx_8BF_zPQ6ffJRwCg5"/>
      <w:bookmarkEnd w:id="510"/>
      <w:r>
        <w:rPr>
          <w:rFonts w:ascii="Times New Roman;Times;Serif" w:hAnsi="Times New Roman;Times;Serif"/>
          <w:b w:val="false"/>
          <w:i w:val="false"/>
          <w:caps w:val="false"/>
          <w:smallCaps w:val="false"/>
          <w:sz w:val="20"/>
        </w:rPr>
        <w:t>SCHEDULE OF RESTRICTED STOCK ACTIVITY </w:t>
      </w:r>
    </w:p>
    <w:tbl>
      <w:tblPr>
        <w:tblW w:w="5539" w:type="dxa"/>
        <w:jc w:val="left"/>
        <w:tblInd w:w="0" w:type="dxa"/>
        <w:tblLayout w:type="fixed"/>
        <w:tblCellMar>
          <w:top w:w="0" w:type="dxa"/>
          <w:left w:w="0" w:type="dxa"/>
          <w:bottom w:w="0" w:type="dxa"/>
          <w:right w:w="0" w:type="dxa"/>
        </w:tblCellMar>
      </w:tblPr>
      <w:tblGrid>
        <w:gridCol w:w="3350"/>
        <w:gridCol w:w="60"/>
        <w:gridCol w:w="67"/>
        <w:gridCol w:w="852"/>
        <w:gridCol w:w="95"/>
        <w:gridCol w:w="60"/>
        <w:gridCol w:w="196"/>
        <w:gridCol w:w="784"/>
        <w:gridCol w:w="75"/>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Unvested as at December 31, 2025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511" w:name="xdx_98C_eus-gaap--ShareBasedCompensation"/>
            <w:bookmarkEnd w:id="511"/>
          </w:p>
        </w:tc>
        <w:tc>
          <w:tcPr>
            <w:tcW w:w="852" w:type="dxa"/>
            <w:tcBorders/>
            <w:shd w:fill="CCEEFF" w:val="clear"/>
            <w:vAlign w:val="center"/>
          </w:tcPr>
          <w:p>
            <w:pPr>
              <w:pStyle w:val="TableContents"/>
              <w:bidi w:val="0"/>
              <w:spacing w:before="0" w:after="283"/>
              <w:jc w:val="right"/>
              <w:rPr/>
            </w:pPr>
            <w:r>
              <w:rPr/>
              <w:t>54,561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bookmarkStart w:id="512" w:name="xdx_98E_eus-gaap--ShareBasedCompensation"/>
            <w:bookmarkEnd w:id="512"/>
          </w:p>
        </w:tc>
        <w:tc>
          <w:tcPr>
            <w:tcW w:w="784" w:type="dxa"/>
            <w:tcBorders/>
            <w:shd w:fill="CCEEFF" w:val="clear"/>
            <w:vAlign w:val="center"/>
          </w:tcPr>
          <w:p>
            <w:pPr>
              <w:pStyle w:val="TableContents"/>
              <w:bidi w:val="0"/>
              <w:spacing w:before="0" w:after="283"/>
              <w:jc w:val="right"/>
              <w:rPr/>
            </w:pPr>
            <w:r>
              <w:rPr/>
              <w:t>87.10</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513" w:name="xdx_98D_eus-gaap--ShareBasedCompensation"/>
            <w:bookmarkEnd w:id="513"/>
          </w:p>
        </w:tc>
        <w:tc>
          <w:tcPr>
            <w:tcW w:w="8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bookmarkStart w:id="514" w:name="xdx_98B_eus-gaap--ShareBasedCompensation"/>
            <w:bookmarkEnd w:id="514"/>
          </w:p>
        </w:tc>
        <w:tc>
          <w:tcPr>
            <w:tcW w:w="78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515" w:name="xdx_98A_eus-gaap--ShareBasedCompensation"/>
            <w:bookmarkEnd w:id="515"/>
          </w:p>
        </w:tc>
        <w:tc>
          <w:tcPr>
            <w:tcW w:w="852" w:type="dxa"/>
            <w:tcBorders/>
            <w:shd w:fill="CCEEFF" w:val="clear"/>
            <w:vAlign w:val="center"/>
          </w:tcPr>
          <w:p>
            <w:pPr>
              <w:pStyle w:val="TableContents"/>
              <w:bidi w:val="0"/>
              <w:spacing w:before="0" w:after="283"/>
              <w:jc w:val="right"/>
              <w:rPr/>
            </w:pPr>
            <w:r>
              <w:rPr/>
              <w:t>(20,805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bookmarkStart w:id="516" w:name="xdx_98D_eus-gaap--ShareBasedCompensation"/>
            <w:bookmarkEnd w:id="516"/>
          </w:p>
        </w:tc>
        <w:tc>
          <w:tcPr>
            <w:tcW w:w="784" w:type="dxa"/>
            <w:tcBorders/>
            <w:shd w:fill="CCEEFF" w:val="clear"/>
            <w:vAlign w:val="center"/>
          </w:tcPr>
          <w:p>
            <w:pPr>
              <w:pStyle w:val="TableContents"/>
              <w:bidi w:val="0"/>
              <w:spacing w:before="0" w:after="283"/>
              <w:jc w:val="right"/>
              <w:rPr/>
            </w:pPr>
            <w:r>
              <w:rPr/>
              <w:t>85.68</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7" w:name="xdx_980_eus-gaap--ShareBasedCompensation"/>
            <w:bookmarkEnd w:id="517"/>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8" w:name="xdx_980_eus-gaap--ShareBasedCompensation"/>
            <w:bookmarkEnd w:id="518"/>
          </w:p>
        </w:tc>
        <w:tc>
          <w:tcPr>
            <w:tcW w:w="7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Unvested as at June 30, 2026</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19" w:name="xdx_982_eus-gaap--ShareBasedCompensation"/>
            <w:bookmarkEnd w:id="519"/>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33,756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20" w:name="xdx_989_eus-gaap--ShareBasedCompensation"/>
            <w:bookmarkEnd w:id="520"/>
          </w:p>
        </w:tc>
        <w:tc>
          <w:tcPr>
            <w:tcW w:w="784" w:type="dxa"/>
            <w:tcBorders>
              <w:bottom w:val="double" w:sz="6" w:space="0" w:color="000000"/>
            </w:tcBorders>
            <w:shd w:fill="CCEEFF" w:val="clear"/>
            <w:tcMar>
              <w:bottom w:w="28" w:type="dxa"/>
            </w:tcMar>
            <w:vAlign w:val="center"/>
          </w:tcPr>
          <w:p>
            <w:pPr>
              <w:pStyle w:val="TableContents"/>
              <w:bidi w:val="0"/>
              <w:spacing w:before="0" w:after="283"/>
              <w:jc w:val="right"/>
              <w:rPr/>
            </w:pPr>
            <w:r>
              <w:rPr/>
              <w:t>87.98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1" w:name="xdx_8AA_zLIzbCGj9i1a"/>
      <w:bookmarkEnd w:id="52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compensation expense for RSUs recognized in the General and administrative expenses of the Company’s unaudited condensed consolidated statements of operations was $</w:t>
      </w:r>
      <w:bookmarkStart w:id="522" w:name="xdx_900_eus-gaap--GeneralAndAdministrati"/>
      <w:bookmarkEnd w:id="522"/>
      <w:r>
        <w:rPr>
          <w:rFonts w:ascii="Times New Roman;Times;Serif" w:hAnsi="Times New Roman;Times;Serif"/>
          <w:b w:val="false"/>
          <w:i w:val="false"/>
          <w:caps w:val="false"/>
          <w:smallCaps w:val="false"/>
          <w:sz w:val="20"/>
        </w:rPr>
        <w:t>826,865 and $</w:t>
      </w:r>
      <w:bookmarkStart w:id="523" w:name="xdx_900_eus-gaap--GeneralAndAdministrati"/>
      <w:bookmarkEnd w:id="523"/>
      <w:r>
        <w:rPr>
          <w:rFonts w:ascii="Times New Roman;Times;Serif" w:hAnsi="Times New Roman;Times;Serif"/>
          <w:b w:val="false"/>
          <w:i w:val="false"/>
          <w:caps w:val="false"/>
          <w:smallCaps w:val="false"/>
          <w:sz w:val="20"/>
        </w:rPr>
        <w:t>2,392,528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compensation expense for RSU recognized in the General and administrative expenses of the Company’s unaudited condensed consolidated statements of operations was $</w:t>
      </w:r>
      <w:bookmarkStart w:id="524" w:name="xdx_90B_eus-gaap--GeneralAndAdministrati"/>
      <w:bookmarkEnd w:id="524"/>
      <w:r>
        <w:rPr>
          <w:rFonts w:ascii="Times New Roman;Times;Serif" w:hAnsi="Times New Roman;Times;Serif"/>
          <w:b w:val="false"/>
          <w:i w:val="false"/>
          <w:caps w:val="false"/>
          <w:smallCaps w:val="false"/>
          <w:sz w:val="20"/>
        </w:rPr>
        <w:t>357,967 and $</w:t>
      </w:r>
      <w:bookmarkStart w:id="525" w:name="xdx_90B_eus-gaap--GeneralAndAdministrati"/>
      <w:bookmarkEnd w:id="525"/>
      <w:r>
        <w:rPr>
          <w:rFonts w:ascii="Times New Roman;Times;Serif" w:hAnsi="Times New Roman;Times;Serif"/>
          <w:b w:val="false"/>
          <w:i w:val="false"/>
          <w:caps w:val="false"/>
          <w:smallCaps w:val="false"/>
          <w:sz w:val="20"/>
        </w:rPr>
        <w:t>1,094,640 for the three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RSU’s vested during six months ended June 30, 2026, was $</w:t>
      </w:r>
      <w:bookmarkStart w:id="526" w:name="xdx_90B_eus-gaap--SharebasedCompensation"/>
      <w:bookmarkEnd w:id="526"/>
      <w:r>
        <w:rPr>
          <w:rFonts w:ascii="Times New Roman;Times;Serif" w:hAnsi="Times New Roman;Times;Serif"/>
          <w:b w:val="false"/>
          <w:i w:val="false"/>
          <w:caps w:val="false"/>
          <w:smallCaps w:val="false"/>
          <w:sz w:val="20"/>
        </w:rPr>
        <w:t>1,782,495. As at June 30, 2026, total unvested compensation cost for RSUs granted to employees not yet recognized was $</w:t>
      </w:r>
      <w:bookmarkStart w:id="527" w:name="xdx_90B_eus-gaap--EmployeeServiceShareBa"/>
      <w:bookmarkEnd w:id="527"/>
      <w:r>
        <w:rPr>
          <w:rFonts w:ascii="Times New Roman;Times;Serif" w:hAnsi="Times New Roman;Times;Serif"/>
          <w:b w:val="false"/>
          <w:i w:val="false"/>
          <w:caps w:val="false"/>
          <w:smallCaps w:val="false"/>
          <w:sz w:val="20"/>
        </w:rPr>
        <w:t xml:space="preserve">699,397. The Company expects to recognize this compensation over a weighted average period of approximately </w:t>
      </w:r>
      <w:bookmarkStart w:id="528" w:name="xdx_909_eus-gaap--SharebasedCompensation"/>
      <w:bookmarkEnd w:id="528"/>
      <w:r>
        <w:rPr>
          <w:rFonts w:ascii="Times New Roman;Times;Serif" w:hAnsi="Times New Roman;Times;Serif"/>
          <w:b w:val="false"/>
          <w:i w:val="false"/>
          <w:caps w:val="false"/>
          <w:smallCaps w:val="false"/>
          <w:sz w:val="20"/>
        </w:rPr>
        <w:t>1.23 years.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adopted, and the stockholders of the Company approved, the 2024 Equity Incentive Plan (the “</w:t>
      </w:r>
      <w:r>
        <w:rPr>
          <w:rFonts w:ascii="Times New Roman;Times;Serif" w:hAnsi="Times New Roman;Times;Serif"/>
          <w:b/>
          <w:i w:val="false"/>
          <w:caps w:val="false"/>
          <w:smallCaps w:val="false"/>
          <w:sz w:val="20"/>
        </w:rPr>
        <w:t>2024 Plan</w:t>
      </w:r>
      <w:r>
        <w:rPr>
          <w:rFonts w:ascii="Times New Roman;Times;Serif" w:hAnsi="Times New Roman;Times;Serif"/>
          <w:b w:val="false"/>
          <w:i w:val="false"/>
          <w:caps w:val="false"/>
          <w:smallCaps w:val="false"/>
          <w:sz w:val="20"/>
        </w:rPr>
        <w:t xml:space="preserve">”) in September 2024. The maximum number of shares with respect to one or more awards that may be granted to any one participant during any calendar year shall be </w:t>
      </w:r>
      <w:bookmarkStart w:id="529" w:name="xdx_903_eus-gaap--CommonStockCapitalShar"/>
      <w:bookmarkEnd w:id="529"/>
      <w:r>
        <w:rPr>
          <w:rFonts w:ascii="Times New Roman;Times;Serif" w:hAnsi="Times New Roman;Times;Serif"/>
          <w:b w:val="false"/>
          <w:i w:val="false"/>
          <w:caps w:val="false"/>
          <w:smallCaps w:val="false"/>
          <w:sz w:val="20"/>
        </w:rPr>
        <w:t>467,366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13, 2026, the Company filed a Registration Statement on Form S-8 for the purpose of registering an additional (i) </w:t>
      </w:r>
      <w:bookmarkStart w:id="530" w:name="xdx_907_eus-gaap--StockIssuedDuringPerio"/>
      <w:bookmarkEnd w:id="530"/>
      <w:r>
        <w:rPr>
          <w:rFonts w:ascii="Times New Roman;Times;Serif" w:hAnsi="Times New Roman;Times;Serif"/>
          <w:b w:val="false"/>
          <w:i w:val="false"/>
          <w:caps w:val="false"/>
          <w:smallCaps w:val="false"/>
          <w:sz w:val="20"/>
        </w:rPr>
        <w:t>732,159 shares of Common Stock that became issuable under the 2024 Plan pursuant to the provisions of the 2024 Plan providing for automatic increases in the number of shares reserved for issuance thereunder (the “</w:t>
      </w:r>
      <w:r>
        <w:rPr>
          <w:rFonts w:ascii="Times New Roman;Times;Serif" w:hAnsi="Times New Roman;Times;Serif"/>
          <w:b/>
          <w:i w:val="false"/>
          <w:caps w:val="false"/>
          <w:smallCaps w:val="false"/>
          <w:sz w:val="20"/>
        </w:rPr>
        <w:t>Evergreen Shares</w:t>
      </w:r>
      <w:r>
        <w:rPr>
          <w:rFonts w:ascii="Times New Roman;Times;Serif" w:hAnsi="Times New Roman;Times;Serif"/>
          <w:b w:val="false"/>
          <w:i w:val="false"/>
          <w:caps w:val="false"/>
          <w:smallCaps w:val="false"/>
          <w:sz w:val="20"/>
        </w:rPr>
        <w:t xml:space="preserve">”) and (ii) </w:t>
      </w:r>
      <w:bookmarkStart w:id="531" w:name="xdx_90B_eus-gaap--StockIssuedDuringPerio"/>
      <w:bookmarkEnd w:id="531"/>
      <w:r>
        <w:rPr>
          <w:rFonts w:ascii="Times New Roman;Times;Serif" w:hAnsi="Times New Roman;Times;Serif"/>
          <w:b w:val="false"/>
          <w:i w:val="false"/>
          <w:caps w:val="false"/>
          <w:smallCaps w:val="false"/>
          <w:sz w:val="20"/>
        </w:rPr>
        <w:t>82,000 shares of Common Stock that may again become available for issuance with respect to awards under the 2024 Plan pursuant to the share counting, share recycling and other terms and conditions of the 2024 Plan (the “</w:t>
      </w:r>
      <w:r>
        <w:rPr>
          <w:rFonts w:ascii="Times New Roman;Times;Serif" w:hAnsi="Times New Roman;Times;Serif"/>
          <w:b/>
          <w:i w:val="false"/>
          <w:caps w:val="false"/>
          <w:smallCaps w:val="false"/>
          <w:sz w:val="20"/>
        </w:rPr>
        <w:t>Recycled Shares</w:t>
      </w:r>
      <w:r>
        <w:rPr>
          <w:rFonts w:ascii="Times New Roman;Times;Serif" w:hAnsi="Times New Roman;Times;Serif"/>
          <w:b w:val="false"/>
          <w:i w:val="false"/>
          <w:caps w:val="false"/>
          <w:smallCaps w:val="false"/>
          <w:sz w:val="20"/>
        </w:rPr>
        <w:t xml:space="preserve">”). Additionally at the Annual Meeting on June 2, 2026, the Company’s stockholders approved an amendment and restatement of the Company’s 2024 Plan to increase the number of shares available for issuance under the 2024 Plan by </w:t>
      </w:r>
      <w:bookmarkStart w:id="532" w:name="xdx_905_eus-gaap--CommonStockCapitalShar"/>
      <w:bookmarkEnd w:id="532"/>
      <w:r>
        <w:rPr>
          <w:rFonts w:ascii="Times New Roman;Times;Serif" w:hAnsi="Times New Roman;Times;Serif"/>
          <w:b w:val="false"/>
          <w:i w:val="false"/>
          <w:caps w:val="false"/>
          <w:smallCaps w:val="false"/>
          <w:sz w:val="20"/>
        </w:rPr>
        <w:t>2,600,000 shares and extend the 2024 Plan’s term to April 8, 2036.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granted (a) </w:t>
      </w:r>
      <w:bookmarkStart w:id="533" w:name="xdx_909_eus-gaap--ShareBasedCompensation"/>
      <w:bookmarkEnd w:id="533"/>
      <w:r>
        <w:rPr>
          <w:rFonts w:ascii="Times New Roman;Times;Serif" w:hAnsi="Times New Roman;Times;Serif"/>
          <w:b w:val="false"/>
          <w:i w:val="false"/>
          <w:caps w:val="false"/>
          <w:smallCaps w:val="false"/>
          <w:sz w:val="20"/>
        </w:rPr>
        <w:t xml:space="preserve">40,000 RSUs to employees, which vested immediately upon grant, (b) </w:t>
      </w:r>
      <w:bookmarkStart w:id="534" w:name="xdx_90D_eus-gaap--ShareBasedCompensation"/>
      <w:bookmarkEnd w:id="534"/>
      <w:r>
        <w:rPr>
          <w:rFonts w:ascii="Times New Roman;Times;Serif" w:hAnsi="Times New Roman;Times;Serif"/>
          <w:b w:val="false"/>
          <w:i w:val="false"/>
          <w:caps w:val="false"/>
          <w:smallCaps w:val="false"/>
          <w:sz w:val="20"/>
        </w:rPr>
        <w:t xml:space="preserve">620,362 RSUs to employees, which vested immediately upon grant and were issued in settlement of prior year bonuses and (c) </w:t>
      </w:r>
      <w:bookmarkStart w:id="535" w:name="xdx_906_eus-gaap--ShareBasedCompensation"/>
      <w:bookmarkEnd w:id="535"/>
      <w:r>
        <w:rPr>
          <w:rFonts w:ascii="Times New Roman;Times;Serif" w:hAnsi="Times New Roman;Times;Serif"/>
          <w:b w:val="false"/>
          <w:i w:val="false"/>
          <w:caps w:val="false"/>
          <w:smallCaps w:val="false"/>
          <w:sz w:val="20"/>
        </w:rPr>
        <w:t>21,692 RSUs to consultants which vested immediately upon grant and were issued in settlement of prior year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common stock is based on the closing price of the Company’s Common Stock, as reported on Nasdaq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6" w:name="xdx_896_eus-gaap--ScheduleOfShareBasedCo"/>
      <w:bookmarkEnd w:id="536"/>
      <w:r>
        <w:rPr>
          <w:rFonts w:ascii="Times New Roman;Times;Serif" w:hAnsi="Times New Roman;Times;Serif"/>
          <w:b w:val="false"/>
          <w:i w:val="false"/>
          <w:caps w:val="false"/>
          <w:smallCaps w:val="false"/>
          <w:sz w:val="20"/>
        </w:rPr>
        <w:t>RSU activity for the six months ended June 30, 2026, and balances as at the end of June 30, 2026,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7" w:name="xdx_8B6_zAqcpTRAUxVc"/>
      <w:bookmarkEnd w:id="537"/>
      <w:r>
        <w:rPr>
          <w:rFonts w:ascii="Times New Roman;Times;Serif" w:hAnsi="Times New Roman;Times;Serif"/>
          <w:b w:val="false"/>
          <w:i w:val="false"/>
          <w:caps w:val="false"/>
          <w:smallCaps w:val="false"/>
          <w:sz w:val="20"/>
        </w:rPr>
        <w:t>SCHEDULE OF RESTRICTED STOCK ACTIVITY </w:t>
      </w:r>
    </w:p>
    <w:tbl>
      <w:tblPr>
        <w:tblW w:w="5749" w:type="dxa"/>
        <w:jc w:val="left"/>
        <w:tblInd w:w="0" w:type="dxa"/>
        <w:tblLayout w:type="fixed"/>
        <w:tblCellMar>
          <w:top w:w="0" w:type="dxa"/>
          <w:left w:w="0" w:type="dxa"/>
          <w:bottom w:w="0" w:type="dxa"/>
          <w:right w:w="0" w:type="dxa"/>
        </w:tblCellMar>
      </w:tblPr>
      <w:tblGrid>
        <w:gridCol w:w="3350"/>
        <w:gridCol w:w="60"/>
        <w:gridCol w:w="72"/>
        <w:gridCol w:w="1057"/>
        <w:gridCol w:w="95"/>
        <w:gridCol w:w="60"/>
        <w:gridCol w:w="94"/>
        <w:gridCol w:w="886"/>
        <w:gridCol w:w="75"/>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Unvested as at December 31, 2025</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538" w:name="xdx_98D_eus-gaap--ShareBasedCompensation"/>
            <w:bookmarkEnd w:id="538"/>
          </w:p>
        </w:tc>
        <w:tc>
          <w:tcPr>
            <w:tcW w:w="1057" w:type="dxa"/>
            <w:tcBorders/>
            <w:shd w:fill="CCEEFF" w:val="clear"/>
            <w:vAlign w:val="center"/>
          </w:tcPr>
          <w:p>
            <w:pPr>
              <w:pStyle w:val="TableContents"/>
              <w:bidi w:val="0"/>
              <w:spacing w:before="0" w:after="283"/>
              <w:jc w:val="right"/>
              <w:rPr/>
            </w:pPr>
            <w:r>
              <w:rPr/>
              <w:t>89,147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bookmarkStart w:id="539" w:name="xdx_986_eus-gaap--ShareBasedCompensation"/>
            <w:bookmarkEnd w:id="539"/>
          </w:p>
        </w:tc>
        <w:tc>
          <w:tcPr>
            <w:tcW w:w="886" w:type="dxa"/>
            <w:tcBorders/>
            <w:shd w:fill="CCEEFF" w:val="clear"/>
            <w:vAlign w:val="center"/>
          </w:tcPr>
          <w:p>
            <w:pPr>
              <w:pStyle w:val="TableContents"/>
              <w:bidi w:val="0"/>
              <w:spacing w:before="0" w:after="283"/>
              <w:jc w:val="right"/>
              <w:rPr/>
            </w:pPr>
            <w:r>
              <w:rPr/>
              <w:t>53.62</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540" w:name="xdx_989_eus-gaap--ShareBasedCompensation"/>
            <w:bookmarkEnd w:id="540"/>
          </w:p>
        </w:tc>
        <w:tc>
          <w:tcPr>
            <w:tcW w:w="1057" w:type="dxa"/>
            <w:tcBorders/>
            <w:shd w:fill="FFFFFF" w:val="clear"/>
            <w:vAlign w:val="center"/>
          </w:tcPr>
          <w:p>
            <w:pPr>
              <w:pStyle w:val="TableContents"/>
              <w:bidi w:val="0"/>
              <w:spacing w:before="0" w:after="283"/>
              <w:jc w:val="right"/>
              <w:rPr/>
            </w:pPr>
            <w:r>
              <w:rPr/>
              <w:t>682,054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bookmarkStart w:id="541" w:name="xdx_985_eus-gaap--ShareBasedCompensation"/>
            <w:bookmarkEnd w:id="541"/>
          </w:p>
        </w:tc>
        <w:tc>
          <w:tcPr>
            <w:tcW w:w="886" w:type="dxa"/>
            <w:tcBorders/>
            <w:shd w:fill="FFFFFF" w:val="clear"/>
            <w:vAlign w:val="center"/>
          </w:tcPr>
          <w:p>
            <w:pPr>
              <w:pStyle w:val="TableContents"/>
              <w:bidi w:val="0"/>
              <w:spacing w:before="0" w:after="283"/>
              <w:jc w:val="right"/>
              <w:rPr/>
            </w:pPr>
            <w:r>
              <w:rPr/>
              <w:t>2.49</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542" w:name="xdx_98D_eus-gaap--ShareBasedCompensation"/>
            <w:bookmarkEnd w:id="542"/>
          </w:p>
        </w:tc>
        <w:tc>
          <w:tcPr>
            <w:tcW w:w="1057" w:type="dxa"/>
            <w:tcBorders/>
            <w:shd w:fill="CCEEFF" w:val="clear"/>
            <w:vAlign w:val="center"/>
          </w:tcPr>
          <w:p>
            <w:pPr>
              <w:pStyle w:val="TableContents"/>
              <w:bidi w:val="0"/>
              <w:spacing w:before="0" w:after="283"/>
              <w:jc w:val="right"/>
              <w:rPr/>
            </w:pPr>
            <w:r>
              <w:rPr/>
              <w:t>(705,277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bookmarkStart w:id="543" w:name="xdx_98B_eus-gaap--ShareBasedCompensation"/>
            <w:bookmarkEnd w:id="543"/>
          </w:p>
        </w:tc>
        <w:tc>
          <w:tcPr>
            <w:tcW w:w="886" w:type="dxa"/>
            <w:tcBorders/>
            <w:shd w:fill="CCEEFF" w:val="clear"/>
            <w:vAlign w:val="center"/>
          </w:tcPr>
          <w:p>
            <w:pPr>
              <w:pStyle w:val="TableContents"/>
              <w:bidi w:val="0"/>
              <w:spacing w:before="0" w:after="283"/>
              <w:jc w:val="right"/>
              <w:rPr/>
            </w:pPr>
            <w:r>
              <w:rPr/>
              <w:t>4.19</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4" w:name="xdx_98B_eus-gaap--ShareBasedCompensation"/>
            <w:bookmarkEnd w:id="544"/>
          </w:p>
        </w:tc>
        <w:tc>
          <w:tcPr>
            <w:tcW w:w="10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5" w:name="xdx_986_eus-gaap--ShareBasedCompensation"/>
            <w:bookmarkEnd w:id="545"/>
          </w:p>
        </w:tc>
        <w:tc>
          <w:tcPr>
            <w:tcW w:w="88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Unvested as at June 30, 2026</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46" w:name="xdx_983_eus-gaap--ShareBasedCompensation"/>
            <w:bookmarkEnd w:id="546"/>
          </w:p>
        </w:tc>
        <w:tc>
          <w:tcPr>
            <w:tcW w:w="1057" w:type="dxa"/>
            <w:tcBorders>
              <w:bottom w:val="double" w:sz="6" w:space="0" w:color="000000"/>
            </w:tcBorders>
            <w:shd w:fill="CCEEFF" w:val="clear"/>
            <w:tcMar>
              <w:bottom w:w="28" w:type="dxa"/>
            </w:tcMar>
            <w:vAlign w:val="center"/>
          </w:tcPr>
          <w:p>
            <w:pPr>
              <w:pStyle w:val="TableContents"/>
              <w:bidi w:val="0"/>
              <w:spacing w:before="0" w:after="283"/>
              <w:jc w:val="right"/>
              <w:rPr/>
            </w:pPr>
            <w:r>
              <w:rPr/>
              <w:t>65,924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47" w:name="xdx_98C_eus-gaap--ShareBasedCompensation"/>
            <w:bookmarkEnd w:id="547"/>
          </w:p>
        </w:tc>
        <w:tc>
          <w:tcPr>
            <w:tcW w:w="886" w:type="dxa"/>
            <w:tcBorders>
              <w:bottom w:val="double" w:sz="6" w:space="0" w:color="000000"/>
            </w:tcBorders>
            <w:shd w:fill="CCEEFF" w:val="clear"/>
            <w:tcMar>
              <w:bottom w:w="28" w:type="dxa"/>
            </w:tcMar>
            <w:vAlign w:val="center"/>
          </w:tcPr>
          <w:p>
            <w:pPr>
              <w:pStyle w:val="TableContents"/>
              <w:bidi w:val="0"/>
              <w:spacing w:before="0" w:after="283"/>
              <w:jc w:val="right"/>
              <w:rPr/>
            </w:pPr>
            <w:r>
              <w:rPr/>
              <w:t>53.48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8" w:name="xdx_8A3_zYfUf5NcbCy6"/>
      <w:bookmarkEnd w:id="54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compensation expense for RSUs recognized in the General and administrative expenses of the Company’s unaudited condensed consolidated statements of operations was $</w:t>
      </w:r>
      <w:bookmarkStart w:id="549" w:name="xdx_900_eus-gaap--GeneralAndAdministrati"/>
      <w:bookmarkEnd w:id="549"/>
      <w:r>
        <w:rPr>
          <w:rFonts w:ascii="Times New Roman;Times;Serif" w:hAnsi="Times New Roman;Times;Serif"/>
          <w:b w:val="false"/>
          <w:i w:val="false"/>
          <w:caps w:val="false"/>
          <w:smallCaps w:val="false"/>
          <w:sz w:val="20"/>
        </w:rPr>
        <w:t>1,340,208 and $</w:t>
      </w:r>
      <w:bookmarkStart w:id="550" w:name="xdx_90F_eus-gaap--GeneralAndAdministrati"/>
      <w:bookmarkEnd w:id="550"/>
      <w:r>
        <w:rPr>
          <w:rFonts w:ascii="Times New Roman;Times;Serif" w:hAnsi="Times New Roman;Times;Serif"/>
          <w:b w:val="false"/>
          <w:i w:val="false"/>
          <w:caps w:val="false"/>
          <w:smallCaps w:val="false"/>
          <w:sz w:val="20"/>
        </w:rPr>
        <w:t>1,374,077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compensation expense for RSUs recognized in the General and administrative expenses of the Company’s unaudited condensed consolidated statements of operations was $</w:t>
      </w:r>
      <w:bookmarkStart w:id="551" w:name="xdx_900_eus-gaap--GeneralAndAdministrati"/>
      <w:bookmarkEnd w:id="551"/>
      <w:r>
        <w:rPr>
          <w:rFonts w:ascii="Times New Roman;Times;Serif" w:hAnsi="Times New Roman;Times;Serif"/>
          <w:b w:val="false"/>
          <w:i w:val="false"/>
          <w:caps w:val="false"/>
          <w:smallCaps w:val="false"/>
          <w:sz w:val="20"/>
        </w:rPr>
        <w:t>604,056 and $</w:t>
      </w:r>
      <w:bookmarkStart w:id="552" w:name="xdx_909_eus-gaap--GeneralAndAdministrati"/>
      <w:bookmarkEnd w:id="552"/>
      <w:r>
        <w:rPr>
          <w:rFonts w:ascii="Times New Roman;Times;Serif" w:hAnsi="Times New Roman;Times;Serif"/>
          <w:b w:val="false"/>
          <w:i w:val="false"/>
          <w:caps w:val="false"/>
          <w:smallCaps w:val="false"/>
          <w:sz w:val="20"/>
        </w:rPr>
        <w:t>23,564 for the three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RSU’s vested during six months ended June 30, 2026, was $</w:t>
      </w:r>
      <w:bookmarkStart w:id="553" w:name="xdx_903_eus-gaap--EmployeeBenefitsAndSha"/>
      <w:bookmarkEnd w:id="553"/>
      <w:r>
        <w:rPr>
          <w:rFonts w:ascii="Times New Roman;Times;Serif" w:hAnsi="Times New Roman;Times;Serif"/>
          <w:b w:val="false"/>
          <w:i w:val="false"/>
          <w:caps w:val="false"/>
          <w:smallCaps w:val="false"/>
          <w:sz w:val="20"/>
        </w:rPr>
        <w:t>2,954,614.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total unvested compensation cost for RSUs granted to employees and non-employee directors not yet recognized was $</w:t>
      </w:r>
      <w:bookmarkStart w:id="554" w:name="xdx_900_eus-gaap--EmployeeServiceShareBa"/>
      <w:bookmarkEnd w:id="554"/>
      <w:r>
        <w:rPr>
          <w:rFonts w:ascii="Times New Roman;Times;Serif" w:hAnsi="Times New Roman;Times;Serif"/>
          <w:b w:val="false"/>
          <w:i w:val="false"/>
          <w:caps w:val="false"/>
          <w:smallCaps w:val="false"/>
          <w:sz w:val="20"/>
        </w:rPr>
        <w:t xml:space="preserve">2,936,598. The Company expects to recognize this compensation over a weighted average period of approximately </w:t>
      </w:r>
      <w:bookmarkStart w:id="555" w:name="xdx_90A_eus-gaap--SharebasedCompensation"/>
      <w:bookmarkEnd w:id="555"/>
      <w:r>
        <w:rPr>
          <w:rFonts w:ascii="Times New Roman;Times;Serif" w:hAnsi="Times New Roman;Times;Serif"/>
          <w:b w:val="false"/>
          <w:i w:val="false"/>
          <w:caps w:val="false"/>
          <w:smallCaps w:val="false"/>
          <w:sz w:val="20"/>
        </w:rPr>
        <w:t>2.27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total unvested compensation cost for RSUs granted to the consultants not yet recognized was $</w:t>
      </w:r>
      <w:bookmarkStart w:id="556" w:name="xdx_90C_eus-gaap--EmployeeServiceShareBa"/>
      <w:bookmarkEnd w:id="556"/>
      <w:r>
        <w:rPr>
          <w:rFonts w:ascii="Times New Roman;Times;Serif" w:hAnsi="Times New Roman;Times;Serif"/>
          <w:b w:val="false"/>
          <w:i w:val="false"/>
          <w:caps w:val="false"/>
          <w:smallCaps w:val="false"/>
          <w:sz w:val="20"/>
        </w:rPr>
        <w:t xml:space="preserve">480,872. The Company expects to recognize this compensation over a period of approximately </w:t>
      </w:r>
      <w:bookmarkStart w:id="557" w:name="xdx_902_eus-gaap--SharebasedCompensation"/>
      <w:bookmarkEnd w:id="557"/>
      <w:r>
        <w:rPr>
          <w:rFonts w:ascii="Times New Roman;Times;Serif" w:hAnsi="Times New Roman;Times;Serif"/>
          <w:b w:val="false"/>
          <w:i w:val="false"/>
          <w:caps w:val="false"/>
          <w:smallCaps w:val="false"/>
          <w:sz w:val="20"/>
        </w:rPr>
        <w:t>2.21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8" w:name="xdx_896_eus-gaap--ShareBasedCompensation"/>
      <w:bookmarkEnd w:id="558"/>
      <w:r>
        <w:rPr>
          <w:rFonts w:ascii="Times New Roman;Times;Serif" w:hAnsi="Times New Roman;Times;Serif"/>
          <w:b w:val="false"/>
          <w:i w:val="false"/>
          <w:caps w:val="false"/>
          <w:smallCaps w:val="false"/>
          <w:sz w:val="20"/>
        </w:rPr>
        <w:t>Performance stock unit (“</w:t>
      </w:r>
      <w:r>
        <w:rPr>
          <w:rFonts w:ascii="Times New Roman;Times;Serif" w:hAnsi="Times New Roman;Times;Serif"/>
          <w:b/>
          <w:i w:val="false"/>
          <w:caps w:val="false"/>
          <w:smallCaps w:val="false"/>
          <w:sz w:val="20"/>
        </w:rPr>
        <w:t>PSU</w:t>
      </w:r>
      <w:r>
        <w:rPr>
          <w:rFonts w:ascii="Times New Roman;Times;Serif" w:hAnsi="Times New Roman;Times;Serif"/>
          <w:b w:val="false"/>
          <w:i w:val="false"/>
          <w:caps w:val="false"/>
          <w:smallCaps w:val="false"/>
          <w:sz w:val="20"/>
        </w:rPr>
        <w:t>”) activity for the six months ended June 30, 2026, and balances as at the end of June 30, 2026,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9" w:name="xdx_8B2_zODBVtQBs1Ya"/>
      <w:bookmarkEnd w:id="559"/>
      <w:r>
        <w:rPr>
          <w:rFonts w:ascii="Times New Roman;Times;Serif" w:hAnsi="Times New Roman;Times;Serif"/>
          <w:b w:val="false"/>
          <w:i w:val="false"/>
          <w:caps w:val="false"/>
          <w:smallCaps w:val="false"/>
          <w:sz w:val="20"/>
        </w:rPr>
        <w:t>SCHEDULE OF PERFORMANCE SHARES UNITS ACTIVITY </w:t>
      </w:r>
    </w:p>
    <w:tbl>
      <w:tblPr>
        <w:tblW w:w="5714" w:type="dxa"/>
        <w:jc w:val="left"/>
        <w:tblInd w:w="0" w:type="dxa"/>
        <w:tblLayout w:type="fixed"/>
        <w:tblCellMar>
          <w:top w:w="0" w:type="dxa"/>
          <w:left w:w="0" w:type="dxa"/>
          <w:bottom w:w="0" w:type="dxa"/>
          <w:right w:w="0" w:type="dxa"/>
        </w:tblCellMar>
      </w:tblPr>
      <w:tblGrid>
        <w:gridCol w:w="3350"/>
        <w:gridCol w:w="60"/>
        <w:gridCol w:w="90"/>
        <w:gridCol w:w="1039"/>
        <w:gridCol w:w="60"/>
        <w:gridCol w:w="60"/>
        <w:gridCol w:w="94"/>
        <w:gridCol w:w="886"/>
        <w:gridCol w:w="75"/>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Unvested as at December 31, 2025</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bookmarkStart w:id="560" w:name="xdx_98F_eus-gaap--ShareBasedCompensation"/>
            <w:bookmarkEnd w:id="560"/>
          </w:p>
        </w:tc>
        <w:tc>
          <w:tcPr>
            <w:tcW w:w="1039" w:type="dxa"/>
            <w:tcBorders/>
            <w:shd w:fill="CCEEFF" w:val="clear"/>
            <w:vAlign w:val="center"/>
          </w:tcPr>
          <w:p>
            <w:pPr>
              <w:pStyle w:val="TableContents"/>
              <w:bidi w:val="0"/>
              <w:spacing w:before="0" w:after="283"/>
              <w:jc w:val="right"/>
              <w:rPr/>
            </w:pPr>
            <w:r>
              <w:rPr/>
              <w:t>50,658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bookmarkStart w:id="561" w:name="xdx_986_eus-gaap--ShareBasedCompensation"/>
            <w:bookmarkEnd w:id="561"/>
          </w:p>
        </w:tc>
        <w:tc>
          <w:tcPr>
            <w:tcW w:w="886" w:type="dxa"/>
            <w:tcBorders/>
            <w:shd w:fill="CCEEFF" w:val="clear"/>
            <w:vAlign w:val="center"/>
          </w:tcPr>
          <w:p>
            <w:pPr>
              <w:pStyle w:val="TableContents"/>
              <w:bidi w:val="0"/>
              <w:spacing w:before="0" w:after="283"/>
              <w:jc w:val="right"/>
              <w:rPr/>
            </w:pPr>
            <w:r>
              <w:rPr/>
              <w:t>67.33</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bookmarkStart w:id="562" w:name="xdx_985_eus-gaap--ShareBasedCompensation"/>
            <w:bookmarkEnd w:id="562"/>
          </w:p>
        </w:tc>
        <w:tc>
          <w:tcPr>
            <w:tcW w:w="10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bookmarkStart w:id="563" w:name="xdx_983_eus-gaap--ShareBasedCompensation"/>
            <w:bookmarkEnd w:id="563"/>
          </w:p>
        </w:tc>
        <w:tc>
          <w:tcPr>
            <w:tcW w:w="88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bookmarkStart w:id="564" w:name="xdx_985_eus-gaap--ShareBasedCompensation"/>
            <w:bookmarkEnd w:id="564"/>
          </w:p>
        </w:tc>
        <w:tc>
          <w:tcPr>
            <w:tcW w:w="10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bookmarkStart w:id="565" w:name="xdx_98C_eus-gaap--ShareBasedCompensation"/>
            <w:bookmarkEnd w:id="565"/>
          </w:p>
        </w:tc>
        <w:tc>
          <w:tcPr>
            <w:tcW w:w="88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6" w:name="xdx_987_eus-gaap--ShareBasedCompensation"/>
            <w:bookmarkEnd w:id="566"/>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7" w:name="xdx_989_eus-gaap--ShareBasedCompensation"/>
            <w:bookmarkEnd w:id="567"/>
          </w:p>
        </w:tc>
        <w:tc>
          <w:tcPr>
            <w:tcW w:w="88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Unvested as at June 30, 2026</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8" w:name="xdx_981_eus-gaap--ShareBasedCompensation"/>
            <w:bookmarkEnd w:id="568"/>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pPr>
            <w:r>
              <w:rPr/>
              <w:t>50,658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9" w:name="xdx_981_eus-gaap--ShareBasedCompensation"/>
            <w:bookmarkEnd w:id="569"/>
          </w:p>
        </w:tc>
        <w:tc>
          <w:tcPr>
            <w:tcW w:w="886" w:type="dxa"/>
            <w:tcBorders>
              <w:bottom w:val="double" w:sz="6" w:space="0" w:color="000000"/>
            </w:tcBorders>
            <w:shd w:fill="CCEEFF" w:val="clear"/>
            <w:tcMar>
              <w:bottom w:w="28" w:type="dxa"/>
            </w:tcMar>
            <w:vAlign w:val="center"/>
          </w:tcPr>
          <w:p>
            <w:pPr>
              <w:pStyle w:val="TableContents"/>
              <w:bidi w:val="0"/>
              <w:spacing w:before="0" w:after="283"/>
              <w:jc w:val="right"/>
              <w:rPr/>
            </w:pPr>
            <w:r>
              <w:rPr/>
              <w:t>67.33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0" w:name="xdx_8AF_zbEEWb7v95pf"/>
      <w:bookmarkEnd w:id="57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compensation expense for PSUs recognized in the General and administrative expenses of the Company’s unaudited condensed consolidated statements of operations was $</w:t>
      </w:r>
      <w:bookmarkStart w:id="571" w:name="xdx_909_eus-gaap--GeneralAndAdministrati"/>
      <w:bookmarkEnd w:id="571"/>
      <w:r>
        <w:rPr>
          <w:rFonts w:ascii="Times New Roman;Times;Serif" w:hAnsi="Times New Roman;Times;Serif"/>
          <w:b w:val="false"/>
          <w:i w:val="false"/>
          <w:caps w:val="false"/>
          <w:smallCaps w:val="false"/>
          <w:sz w:val="20"/>
        </w:rPr>
        <w:t>563,230 and $</w:t>
      </w:r>
      <w:bookmarkStart w:id="572" w:name="xdx_90B_eus-gaap--GeneralAndAdministrati"/>
      <w:bookmarkEnd w:id="572"/>
      <w:r>
        <w:rPr>
          <w:rFonts w:ascii="Times New Roman;Times;Serif" w:hAnsi="Times New Roman;Times;Serif"/>
          <w:b w:val="false"/>
          <w:i w:val="false"/>
          <w:caps w:val="false"/>
          <w:smallCaps w:val="false"/>
          <w:sz w:val="20"/>
        </w:rPr>
        <w:t>563,248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compensation expense for PSUs recognized in the General and administrative expenses of the Company’s unaudited condensed consolidated statements of operations was $</w:t>
      </w:r>
      <w:bookmarkStart w:id="573" w:name="xdx_900_eus-gaap--GeneralAndAdministrati"/>
      <w:bookmarkEnd w:id="573"/>
      <w:r>
        <w:rPr>
          <w:rFonts w:ascii="Times New Roman;Times;Serif" w:hAnsi="Times New Roman;Times;Serif"/>
          <w:b w:val="false"/>
          <w:i w:val="false"/>
          <w:caps w:val="false"/>
          <w:smallCaps w:val="false"/>
          <w:sz w:val="20"/>
        </w:rPr>
        <w:t>283,170 and $</w:t>
      </w:r>
      <w:bookmarkStart w:id="574" w:name="xdx_904_eus-gaap--GeneralAndAdministrati"/>
      <w:bookmarkEnd w:id="574"/>
      <w:r>
        <w:rPr>
          <w:rFonts w:ascii="Times New Roman;Times;Serif" w:hAnsi="Times New Roman;Times;Serif"/>
          <w:b w:val="false"/>
          <w:i w:val="false"/>
          <w:caps w:val="false"/>
          <w:smallCaps w:val="false"/>
          <w:sz w:val="20"/>
        </w:rPr>
        <w:t>283,179 for the three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total unvested compensation cost for PSUs granted to employees not yet recognized was $</w:t>
      </w:r>
      <w:bookmarkStart w:id="575" w:name="xdx_909_eus-gaap--EmployeeServiceShareBa"/>
      <w:bookmarkEnd w:id="575"/>
      <w:r>
        <w:rPr>
          <w:rFonts w:ascii="Times New Roman;Times;Serif" w:hAnsi="Times New Roman;Times;Serif"/>
          <w:b w:val="false"/>
          <w:i w:val="false"/>
          <w:caps w:val="false"/>
          <w:smallCaps w:val="false"/>
          <w:sz w:val="20"/>
        </w:rPr>
        <w:t xml:space="preserve">1,378,621. The Company expects to recognize this compensation over a weighted average period of approximately </w:t>
      </w:r>
      <w:bookmarkStart w:id="576" w:name="xdx_900_eus-gaap--SharebasedCompensation"/>
      <w:bookmarkEnd w:id="576"/>
      <w:r>
        <w:rPr>
          <w:rFonts w:ascii="Times New Roman;Times;Serif" w:hAnsi="Times New Roman;Times;Serif"/>
          <w:b w:val="false"/>
          <w:i w:val="false"/>
          <w:caps w:val="false"/>
          <w:smallCaps w:val="false"/>
          <w:sz w:val="20"/>
        </w:rPr>
        <w:t>1.21 years.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7" w:name="xdx_80E_ecustom--AccountingForWarrantLia"/>
      <w:bookmarkEnd w:id="577"/>
      <w:r>
        <w:rPr>
          <w:rFonts w:ascii="Times New Roman;Times;Serif" w:hAnsi="Times New Roman;Times;Serif"/>
          <w:b/>
          <w:i w:val="false"/>
          <w:caps w:val="false"/>
          <w:smallCaps w:val="false"/>
          <w:sz w:val="20"/>
        </w:rPr>
        <w:t xml:space="preserve">NOTE 6 – </w:t>
      </w:r>
      <w:bookmarkStart w:id="578" w:name="xdx_829_zsjzvfiD8LXg"/>
      <w:bookmarkEnd w:id="578"/>
      <w:r>
        <w:rPr>
          <w:rFonts w:ascii="Times New Roman;Times;Serif" w:hAnsi="Times New Roman;Times;Serif"/>
          <w:b/>
          <w:i w:val="false"/>
          <w:caps w:val="false"/>
          <w:smallCaps w:val="false"/>
          <w:sz w:val="20"/>
        </w:rPr>
        <w:t>ACCOUNTING FOR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Public Warrants and Private Warrants (together, the “Warrants”) were issued in connection with the Business Combination that closed on July 8, 2024, as described in the Company’s Form 10-K. Each 10 Warrants entitle the holder to purchase one share of Common Stock at an exercise price of $</w:t>
      </w:r>
      <w:bookmarkStart w:id="579" w:name="xdx_90A_eus-gaap--ClassOfWarrantOrRightE"/>
      <w:bookmarkEnd w:id="579"/>
      <w:r>
        <w:rPr>
          <w:rFonts w:ascii="Times New Roman;Times;Serif" w:hAnsi="Times New Roman;Times;Serif"/>
          <w:b w:val="false"/>
          <w:i w:val="false"/>
          <w:caps w:val="false"/>
          <w:smallCaps w:val="false"/>
          <w:sz w:val="20"/>
        </w:rPr>
        <w:t xml:space="preserve">115.00 per share. As at June 30, 2026, and December 31, 2025, there were </w:t>
      </w:r>
      <w:bookmarkStart w:id="580" w:name="xdx_90E_eus-gaap--ClassOfWarrantOrRightO"/>
      <w:bookmarkStart w:id="581" w:name="xdx_90A_eus-gaap--ClassOfWarrantOrRightO"/>
      <w:bookmarkEnd w:id="580"/>
      <w:bookmarkEnd w:id="581"/>
      <w:r>
        <w:rPr>
          <w:rFonts w:ascii="Times New Roman;Times;Serif" w:hAnsi="Times New Roman;Times;Serif"/>
          <w:b w:val="false"/>
          <w:i w:val="false"/>
          <w:caps w:val="false"/>
          <w:smallCaps w:val="false"/>
          <w:sz w:val="20"/>
        </w:rPr>
        <w:t xml:space="preserve">10,430,800 warrants outstanding, including </w:t>
      </w:r>
      <w:bookmarkStart w:id="582" w:name="xdx_901_eus-gaap--ClassOfWarrantOrRightO"/>
      <w:bookmarkStart w:id="583" w:name="xdx_90B_eus-gaap--ClassOfWarrantOrRightO"/>
      <w:bookmarkEnd w:id="582"/>
      <w:bookmarkEnd w:id="583"/>
      <w:r>
        <w:rPr>
          <w:rFonts w:ascii="Times New Roman;Times;Serif" w:hAnsi="Times New Roman;Times;Serif"/>
          <w:b w:val="false"/>
          <w:i w:val="false"/>
          <w:caps w:val="false"/>
          <w:smallCaps w:val="false"/>
          <w:sz w:val="20"/>
        </w:rPr>
        <w:t xml:space="preserve">4,864,133 Public Warrants and </w:t>
      </w:r>
      <w:bookmarkStart w:id="584" w:name="xdx_901_eus-gaap--ClassOfWarrantOrRightO"/>
      <w:bookmarkStart w:id="585" w:name="xdx_90E_eus-gaap--ClassOfWarrantOrRightO"/>
      <w:bookmarkEnd w:id="584"/>
      <w:bookmarkEnd w:id="585"/>
      <w:r>
        <w:rPr>
          <w:rFonts w:ascii="Times New Roman;Times;Serif" w:hAnsi="Times New Roman;Times;Serif"/>
          <w:b w:val="false"/>
          <w:i w:val="false"/>
          <w:caps w:val="false"/>
          <w:smallCaps w:val="false"/>
          <w:sz w:val="20"/>
        </w:rPr>
        <w:t>5,566,667 Private Warrants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6" w:name="xdx_907_ecustom--ClassOfWarrantOrRightsD"/>
      <w:bookmarkEnd w:id="586"/>
      <w:r>
        <w:rPr>
          <w:rFonts w:ascii="Times New Roman;Times;Serif" w:hAnsi="Times New Roman;Times;Serif"/>
          <w:b w:val="false"/>
          <w:i w:val="false"/>
          <w:caps w:val="false"/>
          <w:smallCaps w:val="false"/>
          <w:sz w:val="20"/>
        </w:rPr>
        <w:t>The Company may redeem the outstanding Public Warrants in whole and not in part at a price of $0.01 per warrant upon a minimum of 30 days’ prior written notice of redemption, only in the event that the last sale price of the Common Stock equals or exceeds $180.00 per share for any 20 trading days within the 30-trading day period ending on the third trading day before the Company sends the notice of redemption to the Public Warrant holders, and that certain other conditions are met. The Company may also redeem the outstanding Public Warrants in whole and not in part at a price of $0.10 per warrant upon a minimum of 30 days’ prior written notice of redemption, only in the event that the closing price of the common stock equals or exceeds $100.00 per share on the trading day prior to the date on which the Company sends the notice of redemption, and that certain other conditions are met. If the closing price of the common stock is less than $180.00 per share (as adjusted) for any 20 trading days within a 30-trading day period ending three trading days before the Company sends the notice of redemption to the warrant holders, the Private Warrants must also concurrently be called for redemption on the same terms as the outstanding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have terms and provisions that are identical to those of the Public Warrants. However, the Private Warrants are not redeemable by the Company as long as they are held by the Sponsor or its permitted transferees. If the Private Warrants are held by holders other than the Sponsor or its permitted transferees, the Private Warrants will be redeemable by the Company in all redemption scenarios and exercisable by the holders on the same basis as the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classify the Warrants as derivative liabilities under ASC 815-40, consistent with the classification analysis described in the Company’s Form 10-K. The Warrants are remeasured at fair value each reporting period, with changes recognized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7" w:name="xdx_89D_eus-gaap--FairValueLiabilitiesMe"/>
      <w:bookmarkEnd w:id="587"/>
      <w:r>
        <w:rPr>
          <w:rFonts w:ascii="Times New Roman;Times;Serif" w:hAnsi="Times New Roman;Times;Serif"/>
          <w:b w:val="false"/>
          <w:i w:val="false"/>
          <w:caps w:val="false"/>
          <w:smallCaps w:val="false"/>
          <w:sz w:val="20"/>
        </w:rPr>
        <w:t>The following tables present information about the Company’s warrant liabilities that are measured at fair value on a recurring basis at June 30, 2026, and December 31, 2025, and indicate the fair value hierarchy of the valuation inputs the Company utilized to determine such fair value: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8" w:name="xdx_8B8_z9lAY58o2UXb"/>
      <w:bookmarkEnd w:id="588"/>
      <w:r>
        <w:rPr>
          <w:rFonts w:ascii="Times New Roman;Times;Serif" w:hAnsi="Times New Roman;Times;Serif"/>
          <w:b w:val="false"/>
          <w:i w:val="false"/>
          <w:caps w:val="false"/>
          <w:smallCaps w:val="false"/>
          <w:sz w:val="20"/>
        </w:rPr>
        <w:t>SCHEDULE OF WARRANT LIABILITIES THAT ARE MEASURED AT FAIR VALUE ON A RECURRING BASIS </w:t>
      </w:r>
    </w:p>
    <w:tbl>
      <w:tblPr>
        <w:tblW w:w="6494" w:type="dxa"/>
        <w:jc w:val="left"/>
        <w:tblInd w:w="0" w:type="dxa"/>
        <w:tblLayout w:type="fixed"/>
        <w:tblCellMar>
          <w:top w:w="0" w:type="dxa"/>
          <w:left w:w="0" w:type="dxa"/>
          <w:bottom w:w="28" w:type="dxa"/>
          <w:right w:w="0" w:type="dxa"/>
        </w:tblCellMar>
      </w:tblPr>
      <w:tblGrid>
        <w:gridCol w:w="1565"/>
        <w:gridCol w:w="60"/>
        <w:gridCol w:w="140"/>
        <w:gridCol w:w="980"/>
        <w:gridCol w:w="60"/>
        <w:gridCol w:w="60"/>
        <w:gridCol w:w="168"/>
        <w:gridCol w:w="961"/>
        <w:gridCol w:w="60"/>
        <w:gridCol w:w="60"/>
        <w:gridCol w:w="148"/>
        <w:gridCol w:w="847"/>
        <w:gridCol w:w="60"/>
        <w:gridCol w:w="60"/>
        <w:gridCol w:w="214"/>
        <w:gridCol w:w="976"/>
        <w:gridCol w:w="75"/>
      </w:tblGrid>
      <w:tr>
        <w:trPr/>
        <w:tc>
          <w:tcPr>
            <w:tcW w:w="1565" w:type="dxa"/>
            <w:tcBorders>
              <w:bottom w:val="single" w:sz="8" w:space="0" w:color="000000"/>
            </w:tcBorders>
            <w:vAlign w:val="center"/>
          </w:tcPr>
          <w:p>
            <w:pPr>
              <w:pStyle w:val="TableContents"/>
              <w:bidi w:val="0"/>
              <w:spacing w:before="0" w:after="283"/>
              <w:jc w:val="both"/>
              <w:rPr>
                <w:b/>
              </w:rPr>
            </w:pPr>
            <w:r>
              <w:rPr>
                <w:b/>
              </w:rPr>
              <w:t>Description</w:t>
            </w:r>
          </w:p>
        </w:tc>
        <w:tc>
          <w:tcPr>
            <w:tcW w:w="60" w:type="dxa"/>
            <w:tcBorders/>
            <w:tcMar>
              <w:bottom w:w="0" w:type="dxa"/>
            </w:tcMar>
            <w:vAlign w:val="center"/>
          </w:tcPr>
          <w:p>
            <w:pPr>
              <w:pStyle w:val="TableContents"/>
              <w:bidi w:val="0"/>
              <w:spacing w:before="0" w:after="283"/>
              <w:jc w:val="left"/>
              <w:rPr/>
            </w:pPr>
            <w:r>
              <w:rPr/>
              <w:t> </w:t>
            </w:r>
            <w:bookmarkStart w:id="589" w:name="xdx_49B_20260630__us-gaap--FairValueByMe"/>
            <w:bookmarkEnd w:id="589"/>
          </w:p>
        </w:tc>
        <w:tc>
          <w:tcPr>
            <w:tcW w:w="11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90" w:name="xdx_495_20260630__us-gaap--FairValueByMe"/>
            <w:bookmarkEnd w:id="590"/>
          </w:p>
        </w:tc>
        <w:tc>
          <w:tcPr>
            <w:tcW w:w="112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Quoted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Active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91" w:name="xdx_49D_20260630__us-gaap--FairValueByMe"/>
            <w:bookmarkEnd w:id="591"/>
          </w:p>
        </w:tc>
        <w:tc>
          <w:tcPr>
            <w:tcW w:w="99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br/>
              <w:t>Other</w:t>
              <w:br/>
              <w:t>Observable</w:t>
              <w:br/>
              <w:t>Input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92" w:name="xdx_493_20260630__us-gaap--FairValueByMe"/>
            <w:bookmarkEnd w:id="592"/>
          </w:p>
        </w:tc>
        <w:tc>
          <w:tcPr>
            <w:tcW w:w="119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75"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84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593" w:name="xdx_400_eus-gaap--WarrantsAndRightsOutst"/>
            <w:bookmarkEnd w:id="593"/>
          </w:p>
        </w:tc>
      </w:tr>
      <w:tr>
        <w:trPr/>
        <w:tc>
          <w:tcPr>
            <w:tcW w:w="1565" w:type="dxa"/>
            <w:tcBorders/>
            <w:shd w:fill="FFFFFF" w:val="clear"/>
            <w:tcMar>
              <w:bottom w:w="0" w:type="dxa"/>
            </w:tcMar>
            <w:vAlign w:val="center"/>
          </w:tcPr>
          <w:p>
            <w:pPr>
              <w:pStyle w:val="TableContents"/>
              <w:bidi w:val="0"/>
              <w:spacing w:before="0" w:after="283"/>
              <w:jc w:val="both"/>
              <w:rPr/>
            </w:pPr>
            <w:r>
              <w:rPr/>
              <w:t>Public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539,918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shd w:fill="FFFFFF" w:val="clear"/>
            <w:tcMar>
              <w:bottom w:w="0" w:type="dxa"/>
            </w:tcMar>
            <w:vAlign w:val="center"/>
          </w:tcPr>
          <w:p>
            <w:pPr>
              <w:pStyle w:val="TableContents"/>
              <w:bidi w:val="0"/>
              <w:spacing w:before="0" w:after="283"/>
              <w:jc w:val="left"/>
              <w:rPr/>
            </w:pPr>
            <w:r>
              <w:rPr/>
              <w:t>$</w:t>
            </w:r>
          </w:p>
        </w:tc>
        <w:tc>
          <w:tcPr>
            <w:tcW w:w="961" w:type="dxa"/>
            <w:tcBorders/>
            <w:shd w:fill="FFFFFF" w:val="clear"/>
            <w:tcMar>
              <w:bottom w:w="0" w:type="dxa"/>
            </w:tcMar>
            <w:vAlign w:val="center"/>
          </w:tcPr>
          <w:p>
            <w:pPr>
              <w:pStyle w:val="TableContents"/>
              <w:bidi w:val="0"/>
              <w:spacing w:before="0" w:after="283"/>
              <w:jc w:val="right"/>
              <w:rPr/>
            </w:pPr>
            <w:r>
              <w:rPr/>
              <w:t>539,918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w:t>
            </w:r>
          </w:p>
        </w:tc>
        <w:tc>
          <w:tcPr>
            <w:tcW w:w="84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976"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594" w:name="xdx_40A_eus-gaap--WarrantsAndRightsOutst"/>
            <w:bookmarkEnd w:id="594"/>
          </w:p>
        </w:tc>
      </w:tr>
      <w:tr>
        <w:trPr/>
        <w:tc>
          <w:tcPr>
            <w:tcW w:w="1565" w:type="dxa"/>
            <w:tcBorders/>
            <w:shd w:fill="CCEEFF" w:val="clear"/>
            <w:tcMar>
              <w:bottom w:w="0" w:type="dxa"/>
            </w:tcMar>
            <w:vAlign w:val="center"/>
          </w:tcPr>
          <w:p>
            <w:pPr>
              <w:pStyle w:val="TableContents"/>
              <w:bidi w:val="0"/>
              <w:spacing w:before="0" w:after="283"/>
              <w:jc w:val="both"/>
              <w:rPr/>
            </w:pPr>
            <w:r>
              <w:rPr/>
              <w:t>Private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pPr>
            <w:r>
              <w:rPr/>
              <w:t>617,900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bottom w:val="single" w:sz="8" w:space="0" w:color="000000"/>
            </w:tcBorders>
            <w:shd w:fill="CCEEFF" w:val="clear"/>
            <w:vAlign w:val="center"/>
          </w:tcPr>
          <w:p>
            <w:pPr>
              <w:pStyle w:val="TableContents"/>
              <w:bidi w:val="0"/>
              <w:spacing w:before="0" w:after="283"/>
              <w:jc w:val="left"/>
              <w:rPr/>
            </w:pPr>
            <w:r>
              <w:rPr/>
              <w:t> </w:t>
            </w:r>
          </w:p>
        </w:tc>
        <w:tc>
          <w:tcPr>
            <w:tcW w:w="961"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bottom w:val="single" w:sz="8" w:space="0" w:color="000000"/>
            </w:tcBorders>
            <w:shd w:fill="CCEEFF" w:val="clear"/>
            <w:vAlign w:val="center"/>
          </w:tcPr>
          <w:p>
            <w:pPr>
              <w:pStyle w:val="TableContents"/>
              <w:bidi w:val="0"/>
              <w:spacing w:before="0" w:after="283"/>
              <w:jc w:val="left"/>
              <w:rPr/>
            </w:pPr>
            <w:r>
              <w:rPr/>
              <w:t> </w:t>
            </w:r>
          </w:p>
        </w:tc>
        <w:tc>
          <w:tcPr>
            <w:tcW w:w="847" w:type="dxa"/>
            <w:tcBorders>
              <w:bottom w:val="single" w:sz="8" w:space="0" w:color="000000"/>
            </w:tcBorders>
            <w:shd w:fill="CCEEFF" w:val="clear"/>
            <w:vAlign w:val="center"/>
          </w:tcPr>
          <w:p>
            <w:pPr>
              <w:pStyle w:val="TableContents"/>
              <w:bidi w:val="0"/>
              <w:spacing w:before="0" w:after="283"/>
              <w:jc w:val="right"/>
              <w:rPr/>
            </w:pPr>
            <w:r>
              <w:rPr/>
              <w:t>617,900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bottom w:val="single" w:sz="8" w:space="0" w:color="000000"/>
            </w:tcBorders>
            <w:shd w:fill="CCEEFF" w:val="clear"/>
            <w:vAlign w:val="center"/>
          </w:tcPr>
          <w:p>
            <w:pPr>
              <w:pStyle w:val="TableContents"/>
              <w:bidi w:val="0"/>
              <w:spacing w:before="0" w:after="283"/>
              <w:jc w:val="left"/>
              <w:rPr/>
            </w:pPr>
            <w:r>
              <w:rPr/>
              <w:t> </w:t>
            </w:r>
          </w:p>
        </w:tc>
        <w:tc>
          <w:tcPr>
            <w:tcW w:w="976" w:type="dxa"/>
            <w:tcBorders>
              <w:bottom w:val="single" w:sz="8" w:space="0" w:color="000000"/>
            </w:tcBorders>
            <w:shd w:fill="CCEEFF" w:val="clear"/>
            <w:vAlign w:val="center"/>
          </w:tcPr>
          <w:p>
            <w:pPr>
              <w:pStyle w:val="TableContents"/>
              <w:bidi w:val="0"/>
              <w:spacing w:before="0" w:after="283"/>
              <w:jc w:val="right"/>
              <w:rPr/>
            </w:pPr>
            <w:r>
              <w:rPr/>
              <w:t>         </w:t>
            </w: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595" w:name="xdx_40C_eus-gaap--WarrantsAndRightsOutst"/>
            <w:bookmarkEnd w:id="595"/>
          </w:p>
        </w:tc>
      </w:tr>
      <w:tr>
        <w:trPr/>
        <w:tc>
          <w:tcPr>
            <w:tcW w:w="1565" w:type="dxa"/>
            <w:tcBorders/>
            <w:shd w:fill="FFFFFF" w:val="clear"/>
            <w:tcMar>
              <w:bottom w:w="0" w:type="dxa"/>
            </w:tcMar>
            <w:vAlign w:val="center"/>
          </w:tcPr>
          <w:p>
            <w:pPr>
              <w:pStyle w:val="TableContents"/>
              <w:bidi w:val="0"/>
              <w:spacing w:before="0" w:after="283"/>
              <w:jc w:val="both"/>
              <w:rPr/>
            </w:pPr>
            <w:r>
              <w:rPr/>
              <w:t>Warrant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980" w:type="dxa"/>
            <w:tcBorders>
              <w:bottom w:val="double" w:sz="6" w:space="0" w:color="000000"/>
            </w:tcBorders>
            <w:shd w:fill="FFFFFF" w:val="clear"/>
            <w:vAlign w:val="center"/>
          </w:tcPr>
          <w:p>
            <w:pPr>
              <w:pStyle w:val="TableContents"/>
              <w:bidi w:val="0"/>
              <w:spacing w:before="0" w:after="283"/>
              <w:jc w:val="right"/>
              <w:rPr/>
            </w:pPr>
            <w:r>
              <w:rPr/>
              <w:t>1,157,818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vAlign w:val="center"/>
          </w:tcPr>
          <w:p>
            <w:pPr>
              <w:pStyle w:val="TableContents"/>
              <w:bidi w:val="0"/>
              <w:spacing w:before="0" w:after="283"/>
              <w:jc w:val="left"/>
              <w:rPr/>
            </w:pPr>
            <w:r>
              <w:rPr/>
              <w:t>$</w:t>
            </w:r>
          </w:p>
        </w:tc>
        <w:tc>
          <w:tcPr>
            <w:tcW w:w="961" w:type="dxa"/>
            <w:tcBorders>
              <w:bottom w:val="double" w:sz="6" w:space="0" w:color="000000"/>
            </w:tcBorders>
            <w:shd w:fill="FFFFFF" w:val="clear"/>
            <w:vAlign w:val="center"/>
          </w:tcPr>
          <w:p>
            <w:pPr>
              <w:pStyle w:val="TableContents"/>
              <w:bidi w:val="0"/>
              <w:spacing w:before="0" w:after="283"/>
              <w:jc w:val="right"/>
              <w:rPr/>
            </w:pPr>
            <w:r>
              <w:rPr/>
              <w:t>539,918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vAlign w:val="center"/>
          </w:tcPr>
          <w:p>
            <w:pPr>
              <w:pStyle w:val="TableContents"/>
              <w:bidi w:val="0"/>
              <w:spacing w:before="0" w:after="283"/>
              <w:jc w:val="left"/>
              <w:rPr/>
            </w:pPr>
            <w:r>
              <w:rPr/>
              <w:t>$</w:t>
            </w:r>
          </w:p>
        </w:tc>
        <w:tc>
          <w:tcPr>
            <w:tcW w:w="847" w:type="dxa"/>
            <w:tcBorders>
              <w:bottom w:val="double" w:sz="6" w:space="0" w:color="000000"/>
            </w:tcBorders>
            <w:shd w:fill="FFFFFF" w:val="clear"/>
            <w:vAlign w:val="center"/>
          </w:tcPr>
          <w:p>
            <w:pPr>
              <w:pStyle w:val="TableContents"/>
              <w:bidi w:val="0"/>
              <w:spacing w:before="0" w:after="283"/>
              <w:jc w:val="right"/>
              <w:rPr/>
            </w:pPr>
            <w:r>
              <w:rPr/>
              <w:t>617,900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vAlign w:val="center"/>
          </w:tcPr>
          <w:p>
            <w:pPr>
              <w:pStyle w:val="TableContents"/>
              <w:bidi w:val="0"/>
              <w:spacing w:before="0" w:after="283"/>
              <w:jc w:val="left"/>
              <w:rPr/>
            </w:pPr>
            <w:r>
              <w:rPr/>
              <w:t>$</w:t>
            </w:r>
          </w:p>
        </w:tc>
        <w:tc>
          <w:tcPr>
            <w:tcW w:w="976" w:type="dxa"/>
            <w:tcBorders>
              <w:bottom w:val="double" w:sz="6"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788" w:type="dxa"/>
        <w:jc w:val="left"/>
        <w:tblInd w:w="0" w:type="dxa"/>
        <w:tblLayout w:type="fixed"/>
        <w:tblCellMar>
          <w:top w:w="0" w:type="dxa"/>
          <w:left w:w="0" w:type="dxa"/>
          <w:bottom w:w="28" w:type="dxa"/>
          <w:right w:w="0" w:type="dxa"/>
        </w:tblCellMar>
      </w:tblPr>
      <w:tblGrid>
        <w:gridCol w:w="1565"/>
        <w:gridCol w:w="60"/>
        <w:gridCol w:w="176"/>
        <w:gridCol w:w="1238"/>
        <w:gridCol w:w="60"/>
        <w:gridCol w:w="60"/>
        <w:gridCol w:w="78"/>
        <w:gridCol w:w="1051"/>
        <w:gridCol w:w="60"/>
        <w:gridCol w:w="60"/>
        <w:gridCol w:w="69"/>
        <w:gridCol w:w="926"/>
        <w:gridCol w:w="60"/>
        <w:gridCol w:w="60"/>
        <w:gridCol w:w="254"/>
        <w:gridCol w:w="936"/>
        <w:gridCol w:w="75"/>
      </w:tblGrid>
      <w:tr>
        <w:trPr/>
        <w:tc>
          <w:tcPr>
            <w:tcW w:w="1565" w:type="dxa"/>
            <w:tcBorders>
              <w:bottom w:val="single" w:sz="8" w:space="0" w:color="000000"/>
            </w:tcBorders>
            <w:vAlign w:val="center"/>
          </w:tcPr>
          <w:p>
            <w:pPr>
              <w:pStyle w:val="TableContents"/>
              <w:bidi w:val="0"/>
              <w:spacing w:before="0" w:after="283"/>
              <w:jc w:val="both"/>
              <w:rPr>
                <w:b/>
              </w:rPr>
            </w:pPr>
            <w:r>
              <w:rPr>
                <w:b/>
              </w:rPr>
              <w:t>Description</w:t>
            </w:r>
          </w:p>
        </w:tc>
        <w:tc>
          <w:tcPr>
            <w:tcW w:w="60" w:type="dxa"/>
            <w:tcBorders/>
            <w:tcMar>
              <w:bottom w:w="0" w:type="dxa"/>
            </w:tcMar>
            <w:vAlign w:val="center"/>
          </w:tcPr>
          <w:p>
            <w:pPr>
              <w:pStyle w:val="TableContents"/>
              <w:bidi w:val="0"/>
              <w:spacing w:before="0" w:after="283"/>
              <w:jc w:val="left"/>
              <w:rPr/>
            </w:pPr>
            <w:r>
              <w:rPr/>
              <w:t> </w:t>
            </w:r>
            <w:bookmarkStart w:id="596" w:name="xdx_49C_20251231__us-gaap--FairValueByMe"/>
            <w:bookmarkEnd w:id="596"/>
          </w:p>
        </w:tc>
        <w:tc>
          <w:tcPr>
            <w:tcW w:w="141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97" w:name="xdx_497_20251231__us-gaap--FairValueByMe"/>
            <w:bookmarkEnd w:id="597"/>
          </w:p>
        </w:tc>
        <w:tc>
          <w:tcPr>
            <w:tcW w:w="112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Quoted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Active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98" w:name="xdx_49F_20251231__us-gaap--FairValueByMe"/>
            <w:bookmarkEnd w:id="598"/>
          </w:p>
        </w:tc>
        <w:tc>
          <w:tcPr>
            <w:tcW w:w="99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br/>
              <w:t>Other</w:t>
              <w:br/>
              <w:t>Observable</w:t>
              <w:br/>
              <w:t>Input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99" w:name="xdx_490_20251231__us-gaap--FairValueByMe"/>
            <w:bookmarkEnd w:id="599"/>
          </w:p>
        </w:tc>
        <w:tc>
          <w:tcPr>
            <w:tcW w:w="119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75"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92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936"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600" w:name="xdx_40B_eus-gaap--WarrantsAndRightsOutst"/>
            <w:bookmarkEnd w:id="600"/>
          </w:p>
        </w:tc>
      </w:tr>
      <w:tr>
        <w:trPr/>
        <w:tc>
          <w:tcPr>
            <w:tcW w:w="1565" w:type="dxa"/>
            <w:tcBorders/>
            <w:shd w:fill="FFFFFF" w:val="clear"/>
            <w:tcMar>
              <w:bottom w:w="0" w:type="dxa"/>
            </w:tcMar>
            <w:vAlign w:val="center"/>
          </w:tcPr>
          <w:p>
            <w:pPr>
              <w:pStyle w:val="TableContents"/>
              <w:bidi w:val="0"/>
              <w:spacing w:before="0" w:after="283"/>
              <w:jc w:val="both"/>
              <w:rPr/>
            </w:pPr>
            <w:r>
              <w:rPr/>
              <w:t>Public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1238" w:type="dxa"/>
            <w:tcBorders/>
            <w:shd w:fill="FFFFFF" w:val="clear"/>
            <w:tcMar>
              <w:bottom w:w="0" w:type="dxa"/>
            </w:tcMar>
            <w:vAlign w:val="center"/>
          </w:tcPr>
          <w:p>
            <w:pPr>
              <w:pStyle w:val="TableContents"/>
              <w:bidi w:val="0"/>
              <w:spacing w:before="0" w:after="283"/>
              <w:jc w:val="right"/>
              <w:rPr/>
            </w:pPr>
            <w:r>
              <w:rPr/>
              <w:t>485,926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1" w:type="dxa"/>
            <w:tcBorders/>
            <w:shd w:fill="FFFFFF" w:val="clear"/>
            <w:tcMar>
              <w:bottom w:w="0" w:type="dxa"/>
            </w:tcMar>
            <w:vAlign w:val="center"/>
          </w:tcPr>
          <w:p>
            <w:pPr>
              <w:pStyle w:val="TableContents"/>
              <w:bidi w:val="0"/>
              <w:spacing w:before="0" w:after="283"/>
              <w:jc w:val="right"/>
              <w:rPr/>
            </w:pPr>
            <w:r>
              <w:rPr/>
              <w:t>485,926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92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w:t>
            </w:r>
          </w:p>
        </w:tc>
        <w:tc>
          <w:tcPr>
            <w:tcW w:w="936" w:type="dxa"/>
            <w:tcBorders/>
            <w:shd w:fill="FFFFFF" w:val="clear"/>
            <w:tcMar>
              <w:bottom w:w="0" w:type="dxa"/>
            </w:tcMar>
            <w:vAlign w:val="center"/>
          </w:tcPr>
          <w:p>
            <w:pPr>
              <w:pStyle w:val="TableContents"/>
              <w:bidi w:val="0"/>
              <w:spacing w:before="0" w:after="283"/>
              <w:jc w:val="right"/>
              <w:rPr/>
            </w:pPr>
            <w:r>
              <w:rPr/>
              <w:t>       </w:t>
            </w: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601" w:name="xdx_40A_eus-gaap--WarrantsAndRightsOutst"/>
            <w:bookmarkEnd w:id="601"/>
          </w:p>
        </w:tc>
      </w:tr>
      <w:tr>
        <w:trPr/>
        <w:tc>
          <w:tcPr>
            <w:tcW w:w="1565" w:type="dxa"/>
            <w:tcBorders/>
            <w:shd w:fill="CCEEFF" w:val="clear"/>
            <w:tcMar>
              <w:bottom w:w="0" w:type="dxa"/>
            </w:tcMar>
            <w:vAlign w:val="center"/>
          </w:tcPr>
          <w:p>
            <w:pPr>
              <w:pStyle w:val="TableContents"/>
              <w:bidi w:val="0"/>
              <w:spacing w:before="0" w:after="283"/>
              <w:jc w:val="both"/>
              <w:rPr/>
            </w:pPr>
            <w:r>
              <w:rPr/>
              <w:t>Private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single" w:sz="8" w:space="0" w:color="000000"/>
            </w:tcBorders>
            <w:shd w:fill="CCEEFF" w:val="clear"/>
            <w:vAlign w:val="center"/>
          </w:tcPr>
          <w:p>
            <w:pPr>
              <w:pStyle w:val="TableContents"/>
              <w:bidi w:val="0"/>
              <w:spacing w:before="0" w:after="283"/>
              <w:jc w:val="left"/>
              <w:rPr/>
            </w:pPr>
            <w:r>
              <w:rPr/>
              <w:t> </w:t>
            </w:r>
          </w:p>
        </w:tc>
        <w:tc>
          <w:tcPr>
            <w:tcW w:w="1238" w:type="dxa"/>
            <w:tcBorders>
              <w:bottom w:val="single" w:sz="8" w:space="0" w:color="000000"/>
            </w:tcBorders>
            <w:shd w:fill="CCEEFF" w:val="clear"/>
            <w:vAlign w:val="center"/>
          </w:tcPr>
          <w:p>
            <w:pPr>
              <w:pStyle w:val="TableContents"/>
              <w:bidi w:val="0"/>
              <w:spacing w:before="0" w:after="283"/>
              <w:jc w:val="right"/>
              <w:rPr/>
            </w:pPr>
            <w:r>
              <w:rPr/>
              <w:t>556,110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8" w:space="0" w:color="000000"/>
            </w:tcBorders>
            <w:shd w:fill="CCEEFF" w:val="clear"/>
            <w:vAlign w:val="center"/>
          </w:tcPr>
          <w:p>
            <w:pPr>
              <w:pStyle w:val="TableContents"/>
              <w:bidi w:val="0"/>
              <w:spacing w:before="0" w:after="283"/>
              <w:jc w:val="left"/>
              <w:rPr/>
            </w:pPr>
            <w:r>
              <w:rPr/>
              <w:t> </w:t>
            </w:r>
          </w:p>
        </w:tc>
        <w:tc>
          <w:tcPr>
            <w:tcW w:w="1051"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926" w:type="dxa"/>
            <w:tcBorders>
              <w:bottom w:val="single" w:sz="8" w:space="0" w:color="000000"/>
            </w:tcBorders>
            <w:shd w:fill="CCEEFF" w:val="clear"/>
            <w:vAlign w:val="center"/>
          </w:tcPr>
          <w:p>
            <w:pPr>
              <w:pStyle w:val="TableContents"/>
              <w:bidi w:val="0"/>
              <w:spacing w:before="0" w:after="283"/>
              <w:jc w:val="right"/>
              <w:rPr/>
            </w:pPr>
            <w:r>
              <w:rPr/>
              <w:t>556,110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bottom w:val="single" w:sz="8" w:space="0" w:color="000000"/>
            </w:tcBorders>
            <w:shd w:fill="CCEEFF" w:val="clear"/>
            <w:vAlign w:val="center"/>
          </w:tcPr>
          <w:p>
            <w:pPr>
              <w:pStyle w:val="TableContents"/>
              <w:bidi w:val="0"/>
              <w:spacing w:before="0" w:after="283"/>
              <w:jc w:val="left"/>
              <w:rPr/>
            </w:pPr>
            <w:r>
              <w:rPr/>
              <w:t> </w:t>
            </w:r>
          </w:p>
        </w:tc>
        <w:tc>
          <w:tcPr>
            <w:tcW w:w="936" w:type="dxa"/>
            <w:tcBorders>
              <w:bottom w:val="single" w:sz="8"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602" w:name="xdx_40C_eus-gaap--WarrantsAndRightsOutst"/>
            <w:bookmarkEnd w:id="602"/>
          </w:p>
        </w:tc>
      </w:tr>
      <w:tr>
        <w:trPr/>
        <w:tc>
          <w:tcPr>
            <w:tcW w:w="1565" w:type="dxa"/>
            <w:tcBorders/>
            <w:shd w:fill="FFFFFF" w:val="clear"/>
            <w:tcMar>
              <w:bottom w:w="0" w:type="dxa"/>
            </w:tcMar>
            <w:vAlign w:val="center"/>
          </w:tcPr>
          <w:p>
            <w:pPr>
              <w:pStyle w:val="TableContents"/>
              <w:bidi w:val="0"/>
              <w:spacing w:before="0" w:after="283"/>
              <w:jc w:val="both"/>
              <w:rPr/>
            </w:pPr>
            <w:r>
              <w:rPr/>
              <w:t>Warrant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vAlign w:val="center"/>
          </w:tcPr>
          <w:p>
            <w:pPr>
              <w:pStyle w:val="TableContents"/>
              <w:bidi w:val="0"/>
              <w:spacing w:before="0" w:after="283"/>
              <w:jc w:val="left"/>
              <w:rPr/>
            </w:pPr>
            <w:r>
              <w:rPr/>
              <w:t>$</w:t>
            </w:r>
          </w:p>
        </w:tc>
        <w:tc>
          <w:tcPr>
            <w:tcW w:w="1238" w:type="dxa"/>
            <w:tcBorders>
              <w:bottom w:val="double" w:sz="6" w:space="0" w:color="000000"/>
            </w:tcBorders>
            <w:shd w:fill="FFFFFF" w:val="clear"/>
            <w:vAlign w:val="center"/>
          </w:tcPr>
          <w:p>
            <w:pPr>
              <w:pStyle w:val="TableContents"/>
              <w:bidi w:val="0"/>
              <w:spacing w:before="0" w:after="283"/>
              <w:jc w:val="right"/>
              <w:rPr/>
            </w:pPr>
            <w:r>
              <w:rPr/>
              <w:t>1,042,036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bottom w:val="double" w:sz="6" w:space="0" w:color="000000"/>
            </w:tcBorders>
            <w:shd w:fill="FFFFFF" w:val="clear"/>
            <w:vAlign w:val="center"/>
          </w:tcPr>
          <w:p>
            <w:pPr>
              <w:pStyle w:val="TableContents"/>
              <w:bidi w:val="0"/>
              <w:spacing w:before="0" w:after="283"/>
              <w:jc w:val="left"/>
              <w:rPr/>
            </w:pPr>
            <w:r>
              <w:rPr/>
              <w:t> </w:t>
            </w:r>
          </w:p>
        </w:tc>
        <w:tc>
          <w:tcPr>
            <w:tcW w:w="1051" w:type="dxa"/>
            <w:tcBorders>
              <w:bottom w:val="double" w:sz="6" w:space="0" w:color="000000"/>
            </w:tcBorders>
            <w:shd w:fill="FFFFFF" w:val="clear"/>
            <w:vAlign w:val="center"/>
          </w:tcPr>
          <w:p>
            <w:pPr>
              <w:pStyle w:val="TableContents"/>
              <w:bidi w:val="0"/>
              <w:spacing w:before="0" w:after="283"/>
              <w:jc w:val="right"/>
              <w:rPr/>
            </w:pPr>
            <w:r>
              <w:rPr/>
              <w:t>485,926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bottom w:val="double" w:sz="6" w:space="0" w:color="000000"/>
            </w:tcBorders>
            <w:shd w:fill="FFFFFF" w:val="clear"/>
            <w:vAlign w:val="center"/>
          </w:tcPr>
          <w:p>
            <w:pPr>
              <w:pStyle w:val="TableContents"/>
              <w:bidi w:val="0"/>
              <w:spacing w:before="0" w:after="283"/>
              <w:jc w:val="left"/>
              <w:rPr/>
            </w:pPr>
            <w:r>
              <w:rPr/>
              <w:t> </w:t>
            </w:r>
          </w:p>
        </w:tc>
        <w:tc>
          <w:tcPr>
            <w:tcW w:w="926" w:type="dxa"/>
            <w:tcBorders>
              <w:bottom w:val="double" w:sz="6" w:space="0" w:color="000000"/>
            </w:tcBorders>
            <w:shd w:fill="FFFFFF" w:val="clear"/>
            <w:vAlign w:val="center"/>
          </w:tcPr>
          <w:p>
            <w:pPr>
              <w:pStyle w:val="TableContents"/>
              <w:bidi w:val="0"/>
              <w:spacing w:before="0" w:after="283"/>
              <w:jc w:val="right"/>
              <w:rPr/>
            </w:pPr>
            <w:r>
              <w:rPr/>
              <w:t>556,110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vAlign w:val="center"/>
          </w:tcPr>
          <w:p>
            <w:pPr>
              <w:pStyle w:val="TableContents"/>
              <w:bidi w:val="0"/>
              <w:spacing w:before="0" w:after="283"/>
              <w:jc w:val="left"/>
              <w:rPr/>
            </w:pPr>
            <w:r>
              <w:rPr/>
              <w:t>$</w:t>
            </w:r>
          </w:p>
        </w:tc>
        <w:tc>
          <w:tcPr>
            <w:tcW w:w="936" w:type="dxa"/>
            <w:tcBorders>
              <w:bottom w:val="double" w:sz="6"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10"/>
        <w:jc w:val="both"/>
        <w:rPr>
          <w:caps w:val="false"/>
          <w:smallCaps w:val="false"/>
        </w:rPr>
      </w:pPr>
      <w:bookmarkStart w:id="603" w:name="xdx_8AF_zvIWi7oISIi4"/>
      <w:bookmarkEnd w:id="60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and December 31, 2025, the Company valued its Public Warrants by reference to the publicly traded price of the Public Warrants. The Company valued its Private Warrants based on the closing price of the Public Warrants since they are similar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liabilities are not subject to qualified hedge accounting. The Company’s policy is to record transfers between levels at the end of the reporting period. There were no transfers during the three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04" w:name="xdx_80C_eus-gaap--InvestmentTextBlock_zY"/>
      <w:bookmarkEnd w:id="604"/>
      <w:r>
        <w:rPr>
          <w:rFonts w:ascii="Times New Roman;Times;Serif" w:hAnsi="Times New Roman;Times;Serif"/>
          <w:b/>
          <w:i w:val="false"/>
          <w:caps/>
          <w:sz w:val="20"/>
        </w:rPr>
        <w:t xml:space="preserve">NOTE 7 – </w:t>
      </w:r>
      <w:bookmarkStart w:id="605" w:name="xdx_823_ztmuroJERXY6"/>
      <w:bookmarkEnd w:id="605"/>
      <w:r>
        <w:rPr>
          <w:rFonts w:ascii="Times New Roman;Times;Serif" w:hAnsi="Times New Roman;Times;Serif"/>
          <w:b/>
          <w:i w:val="false"/>
          <w:caps/>
          <w:sz w:val="20"/>
        </w:rPr>
        <w:t>INVESTMENT IN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2023, Legacy Stardust Power subscribed to and purchased </w:t>
      </w:r>
      <w:bookmarkStart w:id="606" w:name="xdx_905_eus-gaap--InvestmentOwnedBalance"/>
      <w:bookmarkEnd w:id="606"/>
      <w:r>
        <w:rPr>
          <w:rFonts w:ascii="Times New Roman;Times;Serif" w:hAnsi="Times New Roman;Times;Serif"/>
          <w:b w:val="false"/>
          <w:i w:val="false"/>
          <w:caps w:val="false"/>
          <w:smallCaps w:val="false"/>
          <w:sz w:val="20"/>
        </w:rPr>
        <w:t>13,949,579 ordinary shares (</w:t>
      </w:r>
      <w:bookmarkStart w:id="607" w:name="xdx_901_eus-gaap--EquityMethodInvestment"/>
      <w:bookmarkEnd w:id="607"/>
      <w:r>
        <w:rPr>
          <w:rFonts w:ascii="Times New Roman;Times;Serif" w:hAnsi="Times New Roman;Times;Serif"/>
          <w:b w:val="false"/>
          <w:i w:val="false"/>
          <w:caps w:val="false"/>
          <w:smallCaps w:val="false"/>
          <w:sz w:val="20"/>
        </w:rPr>
        <w:t>1.26% of the total equity) of QX Resources Limited (“</w:t>
      </w:r>
      <w:r>
        <w:rPr>
          <w:rFonts w:ascii="Times New Roman;Times;Serif" w:hAnsi="Times New Roman;Times;Serif"/>
          <w:b/>
          <w:i w:val="false"/>
          <w:caps w:val="false"/>
          <w:smallCaps w:val="false"/>
          <w:sz w:val="20"/>
        </w:rPr>
        <w:t>QXR</w:t>
      </w:r>
      <w:r>
        <w:rPr>
          <w:rFonts w:ascii="Times New Roman;Times;Serif" w:hAnsi="Times New Roman;Times;Serif"/>
          <w:b w:val="false"/>
          <w:i w:val="false"/>
          <w:caps w:val="false"/>
          <w:smallCaps w:val="false"/>
          <w:sz w:val="20"/>
        </w:rPr>
        <w:t>”) for $</w:t>
      </w:r>
      <w:bookmarkStart w:id="608" w:name="xdx_903_eus-gaap--Investments_iI_c202310"/>
      <w:bookmarkEnd w:id="608"/>
      <w:r>
        <w:rPr>
          <w:rFonts w:ascii="Times New Roman;Times;Serif" w:hAnsi="Times New Roman;Times;Serif"/>
          <w:b w:val="false"/>
          <w:i w:val="false"/>
          <w:caps w:val="false"/>
          <w:smallCaps w:val="false"/>
          <w:sz w:val="20"/>
        </w:rPr>
        <w:t>200,000.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QXR’s ordinary shares are listed on the ASX with a readily determinable fair value, and change in fair value is recognized in the unaudited condensed consolidated statement of operations. Accordingly, the investment in these securities has been recorded at cost at initial recognition and at fair value of $</w:t>
      </w:r>
      <w:bookmarkStart w:id="609" w:name="xdx_90E_eus-gaap--InvestmentOwnedAtFairV"/>
      <w:bookmarkEnd w:id="609"/>
      <w:r>
        <w:rPr>
          <w:rFonts w:ascii="Times New Roman;Times;Serif" w:hAnsi="Times New Roman;Times;Serif"/>
          <w:b w:val="false"/>
          <w:i w:val="false"/>
          <w:caps w:val="false"/>
          <w:smallCaps w:val="false"/>
          <w:sz w:val="20"/>
        </w:rPr>
        <w:t>28,802 and $</w:t>
      </w:r>
      <w:bookmarkStart w:id="610" w:name="xdx_900_eus-gaap--InvestmentOwnedAtFairV"/>
      <w:bookmarkEnd w:id="610"/>
      <w:r>
        <w:rPr>
          <w:rFonts w:ascii="Times New Roman;Times;Serif" w:hAnsi="Times New Roman;Times;Serif"/>
          <w:b w:val="false"/>
          <w:i w:val="false"/>
          <w:caps w:val="false"/>
          <w:smallCaps w:val="false"/>
          <w:sz w:val="20"/>
        </w:rPr>
        <w:t>37,374 as at June 30, 2026, and December 31, 2025, respectively. The Company recognized a loss of $</w:t>
      </w:r>
      <w:bookmarkStart w:id="611" w:name="xdx_904_eus-gaap--PrincipalInvestmentGai"/>
      <w:bookmarkEnd w:id="611"/>
      <w:r>
        <w:rPr>
          <w:rFonts w:ascii="Times New Roman;Times;Serif" w:hAnsi="Times New Roman;Times;Serif"/>
          <w:b w:val="false"/>
          <w:i w:val="false"/>
          <w:caps w:val="false"/>
          <w:smallCaps w:val="false"/>
          <w:sz w:val="20"/>
        </w:rPr>
        <w:t>14,173 and $</w:t>
      </w:r>
      <w:bookmarkStart w:id="612" w:name="xdx_907_eus-gaap--PrincipalInvestmentGai"/>
      <w:bookmarkEnd w:id="612"/>
      <w:r>
        <w:rPr>
          <w:rFonts w:ascii="Times New Roman;Times;Serif" w:hAnsi="Times New Roman;Times;Serif"/>
          <w:b w:val="false"/>
          <w:i w:val="false"/>
          <w:caps w:val="false"/>
          <w:smallCaps w:val="false"/>
          <w:sz w:val="20"/>
        </w:rPr>
        <w:t>8,572 for the three and six months ended June 30, 2026, and $</w:t>
      </w:r>
      <w:bookmarkStart w:id="613" w:name="xdx_903_eus-gaap--PrincipalInvestmentGai"/>
      <w:bookmarkEnd w:id="613"/>
      <w:r>
        <w:rPr>
          <w:rFonts w:ascii="Times New Roman;Times;Serif" w:hAnsi="Times New Roman;Times;Serif"/>
          <w:b w:val="false"/>
          <w:i w:val="false"/>
          <w:caps w:val="false"/>
          <w:smallCaps w:val="false"/>
          <w:sz w:val="20"/>
        </w:rPr>
        <w:t>12,448 and $</w:t>
      </w:r>
      <w:bookmarkStart w:id="614" w:name="xdx_90C_eus-gaap--PrincipalInvestmentGai"/>
      <w:bookmarkEnd w:id="614"/>
      <w:r>
        <w:rPr>
          <w:rFonts w:ascii="Times New Roman;Times;Serif" w:hAnsi="Times New Roman;Times;Serif"/>
          <w:b w:val="false"/>
          <w:i w:val="false"/>
          <w:caps w:val="false"/>
          <w:smallCaps w:val="false"/>
          <w:sz w:val="20"/>
        </w:rPr>
        <w:t>16,479 for the three and six months ended June 30, 2025, respectively, due to change in fair value of securities in the unaudited condensed consolidated statement of operations. Further, this investment in securities has been disclosed outside of current assets on the unaudited condensed consolidated balance sheet in accordance with ASC 210-10-45-4 because the investment has been made for the purpose of affiliation and continuing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held an investment in IRIS Metals Limited (“</w:t>
      </w:r>
      <w:r>
        <w:rPr>
          <w:rFonts w:ascii="Times New Roman;Times;Serif" w:hAnsi="Times New Roman;Times;Serif"/>
          <w:b/>
          <w:i w:val="false"/>
          <w:caps w:val="false"/>
          <w:smallCaps w:val="false"/>
          <w:sz w:val="20"/>
        </w:rPr>
        <w:t>IRIS Metals</w:t>
      </w:r>
      <w:r>
        <w:rPr>
          <w:rFonts w:ascii="Times New Roman;Times;Serif" w:hAnsi="Times New Roman;Times;Serif"/>
          <w:b w:val="false"/>
          <w:i w:val="false"/>
          <w:caps w:val="false"/>
          <w:smallCaps w:val="false"/>
          <w:sz w:val="20"/>
        </w:rPr>
        <w:t xml:space="preserve">”), an ASX listed equity security which was fully divested during fiscal year 2025 and is described in the Company’s Form 10-K. During the three months ended June 30, 2025, the Company sold </w:t>
      </w:r>
      <w:bookmarkStart w:id="615" w:name="xdx_906_eus-gaap--SaleOfStockNumberOfSha"/>
      <w:bookmarkEnd w:id="615"/>
      <w:r>
        <w:rPr>
          <w:rFonts w:ascii="Times New Roman;Times;Serif" w:hAnsi="Times New Roman;Times;Serif"/>
          <w:b w:val="false"/>
          <w:i w:val="false"/>
          <w:caps w:val="false"/>
          <w:smallCaps w:val="false"/>
          <w:sz w:val="20"/>
        </w:rPr>
        <w:t>1,175,000 ordinary shares of IRIS Metals for total proceeds of $</w:t>
      </w:r>
      <w:bookmarkStart w:id="616" w:name="xdx_900_eus-gaap--ProceedsFromIssuanceOr"/>
      <w:bookmarkEnd w:id="616"/>
      <w:r>
        <w:rPr>
          <w:rFonts w:ascii="Times New Roman;Times;Serif" w:hAnsi="Times New Roman;Times;Serif"/>
          <w:b w:val="false"/>
          <w:i w:val="false"/>
          <w:caps w:val="false"/>
          <w:smallCaps w:val="false"/>
          <w:sz w:val="20"/>
        </w:rPr>
        <w:t>78,311. The carrying value of the shares at the time of sale was $</w:t>
      </w:r>
      <w:bookmarkStart w:id="617" w:name="xdx_905_eus-gaap--DepositsMoneyMarketDep"/>
      <w:bookmarkEnd w:id="617"/>
      <w:r>
        <w:rPr>
          <w:rFonts w:ascii="Times New Roman;Times;Serif" w:hAnsi="Times New Roman;Times;Serif"/>
          <w:b w:val="false"/>
          <w:i w:val="false"/>
          <w:caps w:val="false"/>
          <w:smallCaps w:val="false"/>
          <w:sz w:val="20"/>
        </w:rPr>
        <w:t>173,489, resulting in a realized loss of $</w:t>
      </w:r>
      <w:bookmarkStart w:id="618" w:name="xdx_902_ecustom--LossOnSaleOfInvestmentI"/>
      <w:bookmarkEnd w:id="618"/>
      <w:r>
        <w:rPr>
          <w:rFonts w:ascii="Times New Roman;Times;Serif" w:hAnsi="Times New Roman;Times;Serif"/>
          <w:b w:val="false"/>
          <w:i w:val="false"/>
          <w:caps w:val="false"/>
          <w:smallCaps w:val="false"/>
          <w:sz w:val="20"/>
        </w:rPr>
        <w:t>95,178. The remaining shares of IRIS Metals were subsequently sold during the second half of 2025. Accordingly, as of June 30, 2026, and December 31, 2025, the Company no longer held any investment in IRIS Metals and no gain or loss due to changes in the fair value of securities was recognized during the three and six months ended June 30, 2026. During the three and six months ended June 30, 2025, the Company recognized loss due to changes in the fair value of securities of $</w:t>
      </w:r>
      <w:bookmarkStart w:id="619" w:name="xdx_904_eus-gaap--PrincipalInvestmentGai"/>
      <w:bookmarkEnd w:id="619"/>
      <w:r>
        <w:rPr>
          <w:rFonts w:ascii="Times New Roman;Times;Serif" w:hAnsi="Times New Roman;Times;Serif"/>
          <w:b w:val="false"/>
          <w:i w:val="false"/>
          <w:caps w:val="false"/>
          <w:smallCaps w:val="false"/>
          <w:sz w:val="20"/>
        </w:rPr>
        <w:t>726,441 and $</w:t>
      </w:r>
      <w:bookmarkStart w:id="620" w:name="xdx_90A_eus-gaap--PrincipalInvestmentGai"/>
      <w:bookmarkEnd w:id="620"/>
      <w:r>
        <w:rPr>
          <w:rFonts w:ascii="Times New Roman;Times;Serif" w:hAnsi="Times New Roman;Times;Serif"/>
          <w:b w:val="false"/>
          <w:i w:val="false"/>
          <w:caps w:val="false"/>
          <w:smallCaps w:val="false"/>
          <w:sz w:val="20"/>
        </w:rPr>
        <w:t>711,655,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21" w:name="xdx_802_ecustom--ConvertibleDebtAndWarra"/>
      <w:bookmarkEnd w:id="621"/>
      <w:r>
        <w:rPr>
          <w:rFonts w:ascii="Times New Roman;Times;Serif" w:hAnsi="Times New Roman;Times;Serif"/>
          <w:b/>
          <w:i w:val="false"/>
          <w:caps/>
          <w:sz w:val="20"/>
        </w:rPr>
        <w:t xml:space="preserve">NOTE 8 – </w:t>
      </w:r>
      <w:bookmarkStart w:id="622" w:name="xdx_823_zpRzuOZfCCO7"/>
      <w:bookmarkEnd w:id="622"/>
      <w:r>
        <w:rPr>
          <w:rFonts w:ascii="Times New Roman;Times;Serif" w:hAnsi="Times New Roman;Times;Serif"/>
          <w:b/>
          <w:i w:val="false"/>
          <w:caps/>
          <w:sz w:val="20"/>
        </w:rPr>
        <w:t>CONVERTIBLE NOTES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Lind 2025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2025, the Company entered into the Lind Securities Purchase Agreement with Lind providing for up to $</w:t>
      </w:r>
      <w:bookmarkStart w:id="623" w:name="xdx_90F_eus-gaap--ProceedsFromIssuanceOf"/>
      <w:bookmarkEnd w:id="623"/>
      <w:r>
        <w:rPr>
          <w:rFonts w:ascii="Times New Roman;Times;Serif" w:hAnsi="Times New Roman;Times;Serif"/>
          <w:b w:val="false"/>
          <w:i w:val="false"/>
          <w:caps w:val="false"/>
          <w:smallCaps w:val="false"/>
          <w:sz w:val="20"/>
        </w:rPr>
        <w:t>15,000,000 in senior secured convertible debt financing. At closing, the Company received net cash proceeds of $</w:t>
      </w:r>
      <w:bookmarkStart w:id="624" w:name="xdx_906_eus-gaap--ProceedsFromDebtNetOfI"/>
      <w:bookmarkEnd w:id="624"/>
      <w:r>
        <w:rPr>
          <w:rFonts w:ascii="Times New Roman;Times;Serif" w:hAnsi="Times New Roman;Times;Serif"/>
          <w:b w:val="false"/>
          <w:i w:val="false"/>
          <w:caps w:val="false"/>
          <w:smallCaps w:val="false"/>
          <w:sz w:val="20"/>
        </w:rPr>
        <w:t>3,792,500 after payment of a $</w:t>
      </w:r>
      <w:bookmarkStart w:id="625" w:name="xdx_909_ecustom--CommitmentFee_c20251223"/>
      <w:bookmarkEnd w:id="625"/>
      <w:r>
        <w:rPr>
          <w:rFonts w:ascii="Times New Roman;Times;Serif" w:hAnsi="Times New Roman;Times;Serif"/>
          <w:b w:val="false"/>
          <w:i w:val="false"/>
          <w:caps w:val="false"/>
          <w:smallCaps w:val="false"/>
          <w:sz w:val="20"/>
        </w:rPr>
        <w:t>100,000 commitment fee and $</w:t>
      </w:r>
      <w:bookmarkStart w:id="626" w:name="xdx_903_eus-gaap--LegalFees_c20251223__2"/>
      <w:bookmarkEnd w:id="626"/>
      <w:r>
        <w:rPr>
          <w:rFonts w:ascii="Times New Roman;Times;Serif" w:hAnsi="Times New Roman;Times;Serif"/>
          <w:b w:val="false"/>
          <w:i w:val="false"/>
          <w:caps w:val="false"/>
          <w:smallCaps w:val="false"/>
          <w:sz w:val="20"/>
        </w:rPr>
        <w:t>107,500 in legal fees in exchange for issuing to Lind the 2025 Convertible Note with a principal amount of $</w:t>
      </w:r>
      <w:bookmarkStart w:id="627" w:name="xdx_90A_eus-gaap--ProceedsFromIssuanceOf"/>
      <w:bookmarkEnd w:id="627"/>
      <w:r>
        <w:rPr>
          <w:rFonts w:ascii="Times New Roman;Times;Serif" w:hAnsi="Times New Roman;Times;Serif"/>
          <w:b w:val="false"/>
          <w:i w:val="false"/>
          <w:caps w:val="false"/>
          <w:smallCaps w:val="false"/>
          <w:sz w:val="20"/>
        </w:rPr>
        <w:t xml:space="preserve">4,800,000 and the 2025 Lind Warrant to purchase approximately </w:t>
      </w:r>
      <w:bookmarkStart w:id="628" w:name="xdx_908_eus-gaap--ClassOfWarrantOrRightO"/>
      <w:bookmarkEnd w:id="628"/>
      <w:r>
        <w:rPr>
          <w:rFonts w:ascii="Times New Roman;Times;Serif" w:hAnsi="Times New Roman;Times;Serif"/>
          <w:b w:val="false"/>
          <w:i w:val="false"/>
          <w:caps w:val="false"/>
          <w:smallCaps w:val="false"/>
          <w:sz w:val="20"/>
        </w:rPr>
        <w:t>411,245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Convertible Note does not bear a stated rate of interest. The principal is repayable in 20 consecutive monthly installments of $</w:t>
      </w:r>
      <w:bookmarkStart w:id="629" w:name="xdx_902_eus-gaap--DebtInstrumentPeriodic"/>
      <w:bookmarkEnd w:id="629"/>
      <w:r>
        <w:rPr>
          <w:rFonts w:ascii="Times New Roman;Times;Serif" w:hAnsi="Times New Roman;Times;Serif"/>
          <w:b w:val="false"/>
          <w:i w:val="false"/>
          <w:caps w:val="false"/>
          <w:smallCaps w:val="false"/>
          <w:sz w:val="20"/>
        </w:rPr>
        <w:t>240,000 each, commencing 120 days after the issuance date. Each installment may be settled, at the Company’s election, either (i) in cash (subject to a 4% premium), (ii) shares of common stock (“</w:t>
      </w:r>
      <w:r>
        <w:rPr>
          <w:rFonts w:ascii="Times New Roman;Times;Serif" w:hAnsi="Times New Roman;Times;Serif"/>
          <w:b/>
          <w:i w:val="false"/>
          <w:caps w:val="false"/>
          <w:smallCaps w:val="false"/>
          <w:sz w:val="20"/>
        </w:rPr>
        <w:t>Repayment Shares</w:t>
      </w:r>
      <w:r>
        <w:rPr>
          <w:rFonts w:ascii="Times New Roman;Times;Serif" w:hAnsi="Times New Roman;Times;Serif"/>
          <w:b w:val="false"/>
          <w:i w:val="false"/>
          <w:caps w:val="false"/>
          <w:smallCaps w:val="false"/>
          <w:sz w:val="20"/>
        </w:rPr>
        <w:t xml:space="preserve">”), or (iii) a combination of cash and Repayment Shares. The number of Repayment Shares shall be equal to the principal portion paid in shares divided by the Repayment Share price, which is </w:t>
      </w:r>
      <w:bookmarkStart w:id="630" w:name="xdx_90F_eus-gaap--DebtInstrumentInterest"/>
      <w:bookmarkEnd w:id="630"/>
      <w:r>
        <w:rPr>
          <w:rFonts w:ascii="Times New Roman;Times;Serif" w:hAnsi="Times New Roman;Times;Serif"/>
          <w:b w:val="false"/>
          <w:i w:val="false"/>
          <w:caps w:val="false"/>
          <w:smallCaps w:val="false"/>
          <w:sz w:val="20"/>
        </w:rPr>
        <w:t>90% of the average of five consecutive daily VWAPs selected by Lind during the 20 trading days prior to issuance. The 2025 Convertible Note is convertible at Lind’s option at a fixed conversion price of $</w:t>
      </w:r>
      <w:bookmarkStart w:id="631" w:name="xdx_90A_eus-gaap--DebtInstrumentConverti"/>
      <w:bookmarkEnd w:id="631"/>
      <w:r>
        <w:rPr>
          <w:rFonts w:ascii="Times New Roman;Times;Serif" w:hAnsi="Times New Roman;Times;Serif"/>
          <w:b w:val="false"/>
          <w:i w:val="false"/>
          <w:caps w:val="false"/>
          <w:smallCaps w:val="false"/>
          <w:sz w:val="20"/>
        </w:rPr>
        <w:t>5.837 per share, subject to customary anti-dilution adjustments and a floor price mechanism. Conversions are subject to a 4.99% beneficial ownership limitation (which may be increased to 9.99% under certain conditions). In addition, the total number of shares issuable upon conversion is subject to limitations under applicable stock exchange rules (including the 19.99% cap) unless stockholder approval is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overdue amounts under the 2025 Convertible Note bear interest at 10% per annum, compounded annually on a 360-day year basis, from the due date until paid in full. All accrued and unpaid amounts, including interest on overdue interest, are payable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Convertible Note held by Lind is transferable and may be sold, assigned, or pledged, subject to compliance with applicable laws and regulations. The note may be prepaid in full by the Company upon 10 days’ prior written notice; however, upon any such prepayment notice, Lind may elect to convert up to one-third of the then-outstanding principal at the lower of (i) the applicable conversion price or (ii) the Repayment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Convertible Note includes customary provisions related to change-in-control events, delisting, and events of defaults, which may result in accelerated repayment or conversion at adjusted prices. Upon the occurrence of any of the aforementioned events, Lind may require cash repayment or elect alternative settlement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that the 2025 Convertible Note contains embedded features requiring recognition as derivatives and bifurcation. However, the Company determined the fair value of these embedded derivatives was immaterial as of December 31, 2025, and therefore measured the 2025 Convertible Note at amortized cost and recorded it as a liability on the consolidated balance sheet. Because the 2025 Convertible Note and related warrant were issued in a single financing transaction, the Company allocated the net proceeds to the 2025 Convertible Note and the warrants based on their relative fair values. A portion of the total debt issuance costs of $</w:t>
      </w:r>
      <w:bookmarkStart w:id="632" w:name="xdx_903_eus-gaap--DeferredFinanceCostsGr"/>
      <w:bookmarkEnd w:id="632"/>
      <w:r>
        <w:rPr>
          <w:rFonts w:ascii="Times New Roman;Times;Serif" w:hAnsi="Times New Roman;Times;Serif"/>
          <w:b w:val="false"/>
          <w:i w:val="false"/>
          <w:caps w:val="false"/>
          <w:smallCaps w:val="false"/>
          <w:sz w:val="20"/>
        </w:rPr>
        <w:t>207,500 was allocated to the warrants based on their relative fair value, resulting in an allocation of $</w:t>
      </w:r>
      <w:bookmarkStart w:id="633" w:name="xdx_90A_eus-gaap--DeferredFinanceCostsGr"/>
      <w:bookmarkEnd w:id="633"/>
      <w:r>
        <w:rPr>
          <w:rFonts w:ascii="Times New Roman;Times;Serif" w:hAnsi="Times New Roman;Times;Serif"/>
          <w:b w:val="false"/>
          <w:i w:val="false"/>
          <w:caps w:val="false"/>
          <w:smallCaps w:val="false"/>
          <w:sz w:val="20"/>
        </w:rPr>
        <w:t>34,610 to the warrants and $</w:t>
      </w:r>
      <w:bookmarkStart w:id="634" w:name="xdx_904_eus-gaap--DeferredFinanceCostsGr"/>
      <w:bookmarkEnd w:id="634"/>
      <w:r>
        <w:rPr>
          <w:rFonts w:ascii="Times New Roman;Times;Serif" w:hAnsi="Times New Roman;Times;Serif"/>
          <w:b w:val="false"/>
          <w:i w:val="false"/>
          <w:caps w:val="false"/>
          <w:smallCaps w:val="false"/>
          <w:sz w:val="20"/>
        </w:rPr>
        <w:t>172,890 to the 2025 Convertible Note. In total, $</w:t>
      </w:r>
      <w:bookmarkStart w:id="635" w:name="xdx_903_eus-gaap--DeferredFinanceCostsGr"/>
      <w:bookmarkEnd w:id="635"/>
      <w:r>
        <w:rPr>
          <w:rFonts w:ascii="Times New Roman;Times;Serif" w:hAnsi="Times New Roman;Times;Serif"/>
          <w:b w:val="false"/>
          <w:i w:val="false"/>
          <w:caps w:val="false"/>
          <w:smallCaps w:val="false"/>
          <w:sz w:val="20"/>
        </w:rPr>
        <w:t>34,610 was recorded in additional paid-in capital (“</w:t>
      </w:r>
      <w:r>
        <w:rPr>
          <w:rFonts w:ascii="Times New Roman;Times;Serif" w:hAnsi="Times New Roman;Times;Serif"/>
          <w:b/>
          <w:i w:val="false"/>
          <w:caps w:val="false"/>
          <w:smallCaps w:val="false"/>
          <w:sz w:val="20"/>
        </w:rPr>
        <w:t>APIC</w:t>
      </w:r>
      <w:r>
        <w:rPr>
          <w:rFonts w:ascii="Times New Roman;Times;Serif" w:hAnsi="Times New Roman;Times;Serif"/>
          <w:b w:val="false"/>
          <w:i w:val="false"/>
          <w:caps w:val="false"/>
          <w:smallCaps w:val="false"/>
          <w:sz w:val="20"/>
        </w:rPr>
        <w:t>”) related to the warrants, and a debt discount and debt issuance costs of $</w:t>
      </w:r>
      <w:bookmarkStart w:id="636" w:name="xdx_900_eus-gaap--DebtInstrumentUnamorti"/>
      <w:bookmarkEnd w:id="636"/>
      <w:r>
        <w:rPr>
          <w:rFonts w:ascii="Times New Roman;Times;Serif" w:hAnsi="Times New Roman;Times;Serif"/>
          <w:b w:val="false"/>
          <w:i w:val="false"/>
          <w:caps w:val="false"/>
          <w:smallCaps w:val="false"/>
          <w:sz w:val="20"/>
        </w:rPr>
        <w:t>1,640,062 were recorded as a reduction of the carrying amount of the 2025 Convertible Note, representing the difference between the $</w:t>
      </w:r>
      <w:bookmarkStart w:id="637" w:name="xdx_908_eus-gaap--DebtInstrumentFaceAmou"/>
      <w:bookmarkEnd w:id="637"/>
      <w:r>
        <w:rPr>
          <w:rFonts w:ascii="Times New Roman;Times;Serif" w:hAnsi="Times New Roman;Times;Serif"/>
          <w:b w:val="false"/>
          <w:i w:val="false"/>
          <w:caps w:val="false"/>
          <w:smallCaps w:val="false"/>
          <w:sz w:val="20"/>
        </w:rPr>
        <w:t>4,800,000 principal amount and the amount allocated to the debt component at issuance.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the principal amount outstanding under the 2025 Convertible Note was $</w:t>
      </w:r>
      <w:bookmarkStart w:id="638" w:name="xdx_901_eus-gaap--DebtInstrumentFaceAmou"/>
      <w:bookmarkEnd w:id="638"/>
      <w:r>
        <w:rPr>
          <w:rFonts w:ascii="Times New Roman;Times;Serif" w:hAnsi="Times New Roman;Times;Serif"/>
          <w:b w:val="false"/>
          <w:i w:val="false"/>
          <w:caps w:val="false"/>
          <w:smallCaps w:val="false"/>
          <w:sz w:val="20"/>
        </w:rPr>
        <w:t>4,800,000 and $</w:t>
      </w:r>
      <w:bookmarkStart w:id="639" w:name="xdx_902_eus-gaap--DebtInstrumentFaceAmou"/>
      <w:bookmarkEnd w:id="639"/>
      <w:r>
        <w:rPr>
          <w:rFonts w:ascii="Times New Roman;Times;Serif" w:hAnsi="Times New Roman;Times;Serif"/>
          <w:b w:val="false"/>
          <w:i w:val="false"/>
          <w:caps w:val="false"/>
          <w:smallCaps w:val="false"/>
          <w:sz w:val="20"/>
        </w:rPr>
        <w:t>4,080,000, respectively, and unamortized debt discount and issuance costs, including amount attributed to warrants issued, totaled $</w:t>
      </w:r>
      <w:bookmarkStart w:id="640" w:name="xdx_904_eus-gaap--DebtInstrumentUnamorti"/>
      <w:bookmarkEnd w:id="640"/>
      <w:r>
        <w:rPr>
          <w:rFonts w:ascii="Times New Roman;Times;Serif" w:hAnsi="Times New Roman;Times;Serif"/>
          <w:b w:val="false"/>
          <w:i w:val="false"/>
          <w:caps w:val="false"/>
          <w:smallCaps w:val="false"/>
          <w:sz w:val="20"/>
        </w:rPr>
        <w:t>1,606,994 and $</w:t>
      </w:r>
      <w:bookmarkStart w:id="641" w:name="xdx_906_eus-gaap--DebtInstrumentUnamorti"/>
      <w:bookmarkEnd w:id="641"/>
      <w:r>
        <w:rPr>
          <w:rFonts w:ascii="Times New Roman;Times;Serif" w:hAnsi="Times New Roman;Times;Serif"/>
          <w:b w:val="false"/>
          <w:i w:val="false"/>
          <w:caps w:val="false"/>
          <w:smallCaps w:val="false"/>
          <w:sz w:val="20"/>
        </w:rPr>
        <w:t>914,285, respectively, resulting in a net carrying amount of $</w:t>
      </w:r>
      <w:bookmarkStart w:id="642" w:name="xdx_90B_eus-gaap--DebtInstrumentCarrying"/>
      <w:bookmarkEnd w:id="642"/>
      <w:r>
        <w:rPr>
          <w:rFonts w:ascii="Times New Roman;Times;Serif" w:hAnsi="Times New Roman;Times;Serif"/>
          <w:b w:val="false"/>
          <w:i w:val="false"/>
          <w:caps w:val="false"/>
          <w:smallCaps w:val="false"/>
          <w:sz w:val="20"/>
        </w:rPr>
        <w:t>3,193,006 and $</w:t>
      </w:r>
      <w:bookmarkStart w:id="643" w:name="xdx_90C_eus-gaap--DebtInstrumentCarrying"/>
      <w:bookmarkEnd w:id="643"/>
      <w:r>
        <w:rPr>
          <w:rFonts w:ascii="Times New Roman;Times;Serif" w:hAnsi="Times New Roman;Times;Serif"/>
          <w:b w:val="false"/>
          <w:i w:val="false"/>
          <w:caps w:val="false"/>
          <w:smallCaps w:val="false"/>
          <w:sz w:val="20"/>
        </w:rPr>
        <w:t xml:space="preserve">3,165,715, respectively, at an effective interest rate of </w:t>
      </w:r>
      <w:bookmarkStart w:id="644" w:name="xdx_90E_eus-gaap--DebtInstrumentInterest"/>
      <w:bookmarkEnd w:id="644"/>
      <w:r>
        <w:rPr>
          <w:rFonts w:ascii="Times New Roman;Times;Serif" w:hAnsi="Times New Roman;Times;Serif"/>
          <w:b w:val="false"/>
          <w:i w:val="false"/>
          <w:caps w:val="false"/>
          <w:smallCaps w:val="false"/>
          <w:sz w:val="20"/>
        </w:rPr>
        <w:t>43.2%.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w:t>
      </w:r>
      <w:bookmarkStart w:id="645" w:name="xdx_90B_eus-gaap--InterestExpenseOperati"/>
      <w:bookmarkEnd w:id="645"/>
      <w:r>
        <w:rPr>
          <w:rFonts w:ascii="Times New Roman;Times;Serif" w:hAnsi="Times New Roman;Times;Serif"/>
          <w:b w:val="false"/>
          <w:i w:val="false"/>
          <w:caps w:val="false"/>
          <w:smallCaps w:val="false"/>
          <w:sz w:val="20"/>
        </w:rPr>
        <w:t>330,752 and $</w:t>
      </w:r>
      <w:bookmarkStart w:id="646" w:name="xdx_901_eus-gaap--InterestExpenseOperati"/>
      <w:bookmarkEnd w:id="646"/>
      <w:r>
        <w:rPr>
          <w:rFonts w:ascii="Times New Roman;Times;Serif" w:hAnsi="Times New Roman;Times;Serif"/>
          <w:b w:val="false"/>
          <w:i w:val="false"/>
          <w:caps w:val="false"/>
          <w:smallCaps w:val="false"/>
          <w:sz w:val="20"/>
        </w:rPr>
        <w:t>692,710 of interest expense related to the 2025 Convertible Note, representing amortization of debt discount and issuance cost. Such interest expense is included within interest expense in the Company’s unaudited condensed consolidated statement of operations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the Company elected to repay the three scheduled monthly principal installments under the 2025 Convertible Note through the issuance of Repayment Shares. The number of shares issued for each installment was determined in accordance with the terms of the Lind Securities Purchase Agreement. Upon settlement, the Company recognized loss on extinguishment of 2025 Convertible Note of $</w:t>
      </w:r>
      <w:bookmarkStart w:id="647" w:name="xdx_904_eus-gaap--GainsLossesOnExtinguis"/>
      <w:bookmarkEnd w:id="647"/>
      <w:r>
        <w:rPr>
          <w:rFonts w:ascii="Times New Roman;Times;Serif" w:hAnsi="Times New Roman;Times;Serif"/>
          <w:b w:val="false"/>
          <w:i w:val="false"/>
          <w:caps w:val="false"/>
          <w:smallCaps w:val="false"/>
          <w:sz w:val="20"/>
        </w:rPr>
        <w:t>127,381 for the three months ended June 30, 2026, in the unaudited condensed consolidated statement of operations reflecting the difference between the installment amount and the fair value of the Repayment Shares as of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8" w:name="xdx_893_eus-gaap--ScheduleOfMaturitiesOf"/>
      <w:bookmarkEnd w:id="648"/>
      <w:r>
        <w:rPr>
          <w:rFonts w:ascii="Times New Roman;Times;Serif" w:hAnsi="Times New Roman;Times;Serif"/>
          <w:b w:val="false"/>
          <w:i w:val="false"/>
          <w:caps w:val="false"/>
          <w:smallCaps w:val="false"/>
          <w:sz w:val="20"/>
        </w:rPr>
        <w:t>The future contractual payments of 2025 Convertible Note as of June 30, 2026,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9" w:name="xdx_8B1_zS3CdPR0nGuj"/>
      <w:bookmarkEnd w:id="649"/>
      <w:r>
        <w:rPr>
          <w:rFonts w:ascii="Times New Roman;Times;Serif" w:hAnsi="Times New Roman;Times;Serif"/>
          <w:b w:val="false"/>
          <w:i w:val="false"/>
          <w:caps w:val="false"/>
          <w:smallCaps w:val="false"/>
          <w:sz w:val="20"/>
        </w:rPr>
        <w:t>SCHEDULE OF FUTURE CONTRACTUAL PAYMENT</w:t>
      </w:r>
    </w:p>
    <w:tbl>
      <w:tblPr>
        <w:tblW w:w="3384" w:type="dxa"/>
        <w:jc w:val="left"/>
        <w:tblInd w:w="0" w:type="dxa"/>
        <w:tblLayout w:type="fixed"/>
        <w:tblCellMar>
          <w:top w:w="0" w:type="dxa"/>
          <w:left w:w="0" w:type="dxa"/>
          <w:bottom w:w="28" w:type="dxa"/>
          <w:right w:w="0" w:type="dxa"/>
        </w:tblCellMar>
      </w:tblPr>
      <w:tblGrid>
        <w:gridCol w:w="1595"/>
        <w:gridCol w:w="60"/>
        <w:gridCol w:w="98"/>
        <w:gridCol w:w="1556"/>
        <w:gridCol w:w="75"/>
      </w:tblGrid>
      <w:tr>
        <w:trPr/>
        <w:tc>
          <w:tcPr>
            <w:tcW w:w="15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650" w:name="xdx_49C_20260630__us-gaap--DebtInstrumen"/>
            <w:bookmarkEnd w:id="650"/>
          </w:p>
        </w:tc>
        <w:tc>
          <w:tcPr>
            <w:tcW w:w="16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651" w:name="xdx_409_eus-gaap--LongTermDebtMaturities"/>
            <w:bookmarkEnd w:id="651"/>
          </w:p>
        </w:tc>
      </w:tr>
      <w:tr>
        <w:trPr/>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1,497,600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652" w:name="xdx_409_eus-gaap--LongTermDebtMaturities"/>
            <w:bookmarkEnd w:id="652"/>
          </w:p>
        </w:tc>
      </w:tr>
      <w:tr>
        <w:trPr/>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2,745,600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653" w:name="xdx_40E_eus-gaap--LongTermDebt_iTI_mtLTD"/>
            <w:bookmarkEnd w:id="653"/>
          </w:p>
        </w:tc>
      </w:tr>
      <w:tr>
        <w:trPr/>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$4,243,200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654" w:name="xdx_8A6_zqCsLCL6AOTb"/>
      <w:bookmarkEnd w:id="654"/>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2.1(s) of the 2025 Convertible Note issued to Lind in December 2025, an event of default occurs if the Company’s market capitalization remains below $</w:t>
      </w:r>
      <w:bookmarkStart w:id="655" w:name="xdx_907_ecustom--MarketCapitalization_pn"/>
      <w:bookmarkEnd w:id="655"/>
      <w:r>
        <w:rPr>
          <w:rFonts w:ascii="Times New Roman;Times;Serif" w:hAnsi="Times New Roman;Times;Serif"/>
          <w:b w:val="false"/>
          <w:i w:val="false"/>
          <w:caps w:val="false"/>
          <w:smallCaps w:val="false"/>
          <w:sz w:val="20"/>
        </w:rPr>
        <w:t xml:space="preserve">15.0 million for ten consecutive trading days. Subsequent to the quarter end, this event of default occurred automatically and without any applicable cure period on August 11, 2026, (the “Triggering Event”). The Triggering Event did not result from any failure by the Company to make scheduled payments under the 2025 Convertible Note. </w:t>
      </w:r>
      <w:bookmarkStart w:id="656" w:name="xdx_901_eus-gaap--DebtDefaultLongtermDeb"/>
      <w:bookmarkEnd w:id="656"/>
      <w:r>
        <w:rPr>
          <w:rFonts w:ascii="Times New Roman;Times;Serif" w:hAnsi="Times New Roman;Times;Serif"/>
          <w:b w:val="false"/>
          <w:i w:val="false"/>
          <w:caps w:val="false"/>
          <w:smallCaps w:val="false"/>
          <w:sz w:val="20"/>
        </w:rPr>
        <w:t xml:space="preserve">As a result of the Triggering Event, the Company, among other things, became obligated to pay the Mandatory Default Amount, equal to </w:t>
      </w:r>
      <w:bookmarkStart w:id="657" w:name="xdx_90D_ecustom--PercentageOfOutstanding"/>
      <w:bookmarkEnd w:id="657"/>
      <w:r>
        <w:rPr>
          <w:rFonts w:ascii="Times New Roman;Times;Serif" w:hAnsi="Times New Roman;Times;Serif"/>
          <w:b w:val="false"/>
          <w:i w:val="false"/>
          <w:caps w:val="false"/>
          <w:smallCaps w:val="false"/>
          <w:sz w:val="20"/>
        </w:rPr>
        <w:t>110% of the outstanding principal (approximately $</w:t>
      </w:r>
      <w:bookmarkStart w:id="658" w:name="xdx_90D_eus-gaap--DebtInstrumentCarrying"/>
      <w:bookmarkEnd w:id="658"/>
      <w:r>
        <w:rPr>
          <w:rFonts w:ascii="Times New Roman;Times;Serif" w:hAnsi="Times New Roman;Times;Serif"/>
          <w:b w:val="false"/>
          <w:i w:val="false"/>
          <w:caps w:val="false"/>
          <w:smallCaps w:val="false"/>
          <w:sz w:val="20"/>
        </w:rPr>
        <w:t xml:space="preserve">4.22 million), plus all other amounts owing under the 2025 Convertible Note, with default interest accruing at a rate of </w:t>
      </w:r>
      <w:bookmarkStart w:id="659" w:name="xdx_900_eus-gaap--DebtInstrumentInterest"/>
      <w:bookmarkEnd w:id="659"/>
      <w:r>
        <w:rPr>
          <w:rFonts w:ascii="Times New Roman;Times;Serif" w:hAnsi="Times New Roman;Times;Serif"/>
          <w:b w:val="false"/>
          <w:i w:val="false"/>
          <w:caps w:val="false"/>
          <w:smallCaps w:val="false"/>
          <w:sz w:val="20"/>
        </w:rPr>
        <w:t>10% per annum. Lind may declare the Mandatory Default Amount immediately due and payable and exercise remedies as a secured creditor over substantially all of the assets of the Company and its subsidiaries, including the pledged equity interests. Lind may also convert outstanding principal into shares of Common Stock at a discounted conversion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Lind are engaged in discussions regarding a potential forbearance, waiver, or amendment with respect to the Triggering Event; however, there can be no assurance that such discussions will result in a definitive agreement, or that any agreement will be reached on terms acceptable to the Company. As of the date these unaudited condensed consolidated financial statements were available to be issued, Lind had not accelerated the 2025 Convertible Note or exercised any remedies thereunder.</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Lind Common Stock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23, 2025, in connection with the 2025 Convertible Note, the Company also issued to Lind a warrant to purchase up to </w:t>
      </w:r>
      <w:bookmarkStart w:id="660" w:name="xdx_901_eus-gaap--ClassOfWarrantOrRightO"/>
      <w:bookmarkEnd w:id="660"/>
      <w:r>
        <w:rPr>
          <w:rFonts w:ascii="Times New Roman;Times;Serif" w:hAnsi="Times New Roman;Times;Serif"/>
          <w:b w:val="false"/>
          <w:i w:val="false"/>
          <w:caps w:val="false"/>
          <w:smallCaps w:val="false"/>
          <w:sz w:val="20"/>
        </w:rPr>
        <w:t>411,245 shares of Common Stock at an exercise price of $</w:t>
      </w:r>
      <w:bookmarkStart w:id="661" w:name="xdx_904_eus-gaap--ClassOfWarrantOrRightE"/>
      <w:bookmarkEnd w:id="661"/>
      <w:r>
        <w:rPr>
          <w:rFonts w:ascii="Times New Roman;Times;Serif" w:hAnsi="Times New Roman;Times;Serif"/>
          <w:b w:val="false"/>
          <w:i w:val="false"/>
          <w:caps w:val="false"/>
          <w:smallCaps w:val="false"/>
          <w:sz w:val="20"/>
        </w:rPr>
        <w:t>5.837 per share, exercisable beginning six months after issuance and expiring 60 months thereafter. These may be exercised for cash or, in limited circumstances when a resale registration statement is unavailable or in connection with certain fundamental transactions, on a net share (cashless) basis, in which case Lind receives a reduced number of shares based on the intrinsic value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provide for standard protection in the event of major transactions (for example, the holder receives equivalent consideration, or, in some cases, cash based on Black-Scholes value) and include anti-dilution adjustments for stock splits, stock dividends, and certain issuances of stock below the then-current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also subject to beneficial ownership limitations, are transferable subject to securities law compliance, and confer no voting or dividend rights until exercised.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reviewed the warrants in connection with the securities purchase agreements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ASC 815</w:t>
      </w:r>
      <w:r>
        <w:rPr>
          <w:rFonts w:ascii="Times New Roman;Times;Serif" w:hAnsi="Times New Roman;Times;Serif"/>
          <w:b w:val="false"/>
          <w:i w:val="false"/>
          <w:caps w:val="false"/>
          <w:smallCaps w:val="false"/>
          <w:sz w:val="20"/>
        </w:rPr>
        <w:t>”) and concluded that the warrants are not in scope of ASC 480, “Distinguishing Liabilities from Equity,” and are not subject to the derivative guidance under ASC 815. Accordingly, the warrants were equity classified. The fair value of the warrants at the issuance date of $</w:t>
      </w:r>
      <w:bookmarkStart w:id="662" w:name="xdx_903_ecustom--ProceedsFromIssuanceOfW"/>
      <w:bookmarkEnd w:id="662"/>
      <w:r>
        <w:rPr>
          <w:rFonts w:ascii="Times New Roman;Times;Serif" w:hAnsi="Times New Roman;Times;Serif"/>
          <w:b w:val="false"/>
          <w:i w:val="false"/>
          <w:caps w:val="false"/>
          <w:smallCaps w:val="false"/>
          <w:sz w:val="20"/>
        </w:rPr>
        <w:t>667,172 was determined using a Black-Scholes option pricing model, which includes the use of Level 3 inputs. The resulting fair value of the warrants was recorded in APIC, net of issuance costs, and is not subject to subsequent remeasurement. The Company estimates its stock price volatility using the historical volatility of publicly traded peer companies. The term is equal to the contractual term of the warrants. The risk-free interest rate is determined by reference to the U.S. Treasury yield curve for the time period equal to the term of the warrants. The expected dividend yield is zero based on the fact that the Company has never paid cash dividends on Common Stock and does not expect to pay any cash dividends in the foreseeable future. Assumptions used in calculating the fair value of the warrants at the issuance date include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3" w:name="xdx_8B8_zljW8mOgOIF4"/>
      <w:bookmarkStart w:id="664" w:name="xdx_89D_eus-gaap--FairValueAssetsAndLiab"/>
      <w:bookmarkEnd w:id="663"/>
      <w:bookmarkEnd w:id="664"/>
      <w:r>
        <w:rPr>
          <w:rFonts w:ascii="Times New Roman;Times;Serif" w:hAnsi="Times New Roman;Times;Serif"/>
          <w:b w:val="false"/>
          <w:i w:val="false"/>
          <w:caps w:val="false"/>
          <w:smallCaps w:val="false"/>
          <w:sz w:val="20"/>
        </w:rPr>
        <w:t>SCHEDULE OF FAIR VALUE ASSUMPTION</w:t>
      </w:r>
    </w:p>
    <w:tbl>
      <w:tblPr>
        <w:tblW w:w="5745" w:type="dxa"/>
        <w:jc w:val="left"/>
        <w:tblInd w:w="0" w:type="dxa"/>
        <w:tblLayout w:type="fixed"/>
        <w:tblCellMar>
          <w:top w:w="0" w:type="dxa"/>
          <w:left w:w="0" w:type="dxa"/>
          <w:bottom w:w="0" w:type="dxa"/>
          <w:right w:w="0" w:type="dxa"/>
        </w:tblCellMar>
      </w:tblPr>
      <w:tblGrid>
        <w:gridCol w:w="4400"/>
        <w:gridCol w:w="60"/>
        <w:gridCol w:w="268"/>
        <w:gridCol w:w="817"/>
        <w:gridCol w:w="200"/>
      </w:tblGrid>
      <w:tr>
        <w:trPr/>
        <w:tc>
          <w:tcPr>
            <w:tcW w:w="44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Common Stock as of December 23,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65" w:name="xdx_903_eus-gaap--WarrantsAndRightsOutst"/>
            <w:bookmarkEnd w:id="665"/>
            <w:r>
              <w:rPr>
                <w:rFonts w:ascii="Times New Roman;Times;Serif" w:hAnsi="Times New Roman;Times;Serif"/>
                <w:b w:val="false"/>
                <w:i w:val="false"/>
                <w:caps w:val="false"/>
                <w:smallCaps w:val="false"/>
                <w:sz w:val="20"/>
              </w:rPr>
              <w:t>3.04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66" w:name="xdx_901_eus-gaap--WarrantsAndRightsOutst"/>
            <w:bookmarkEnd w:id="666"/>
            <w:r>
              <w:rPr>
                <w:rFonts w:ascii="Times New Roman;Times;Serif" w:hAnsi="Times New Roman;Times;Serif"/>
                <w:b w:val="false"/>
                <w:i w:val="false"/>
                <w:caps w:val="false"/>
                <w:smallCaps w:val="false"/>
                <w:sz w:val="20"/>
              </w:rPr>
              <w:t>5.84</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67" w:name="xdx_90D_eus-gaap--WarrantsAndRightsOutst"/>
            <w:bookmarkEnd w:id="667"/>
            <w:r>
              <w:rPr>
                <w:rFonts w:ascii="Times New Roman;Times;Serif" w:hAnsi="Times New Roman;Times;Serif"/>
                <w:b w:val="false"/>
                <w:i w:val="false"/>
                <w:caps w:val="false"/>
                <w:smallCaps w:val="false"/>
                <w:sz w:val="20"/>
              </w:rPr>
              <w:t>3.78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terms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68" w:name="xdx_909_eus-gaap--WarrantsAndRightsOutst"/>
            <w:bookmarkEnd w:id="668"/>
            <w:r>
              <w:rPr>
                <w:rFonts w:ascii="Times New Roman;Times;Serif" w:hAnsi="Times New Roman;Times;Serif"/>
                <w:b w:val="false"/>
                <w:i w:val="false"/>
                <w:caps w:val="false"/>
                <w:smallCaps w:val="false"/>
                <w:sz w:val="20"/>
              </w:rPr>
              <w:t>5.5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69" w:name="xdx_901_eus-gaap--WarrantsAndRightsOutst"/>
            <w:bookmarkEnd w:id="669"/>
            <w:r>
              <w:rPr>
                <w:rFonts w:ascii="Times New Roman;Times;Serif" w:hAnsi="Times New Roman;Times;Serif"/>
                <w:b w:val="false"/>
                <w:i w:val="false"/>
                <w:caps w:val="false"/>
                <w:smallCaps w:val="false"/>
                <w:sz w:val="20"/>
              </w:rPr>
              <w:t>75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Yield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70" w:name="xdx_90E_eus-gaap--WarrantsAndRightsOutst"/>
            <w:bookmarkEnd w:id="670"/>
            <w:r>
              <w:rPr>
                <w:rFonts w:ascii="Times New Roman;Times;Serif" w:hAnsi="Times New Roman;Times;Serif"/>
                <w:b w:val="false"/>
                <w:i w:val="false"/>
                <w:caps w:val="false"/>
                <w:smallCaps w:val="false"/>
                <w:sz w:val="20"/>
              </w:rPr>
              <w:t>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bookmarkStart w:id="671" w:name="xdx_8A6_zujn8VuWERre"/>
      <w:bookmarkEnd w:id="671"/>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72" w:name="xdx_803_eus-gaap--FairValueDisclosuresTe"/>
      <w:bookmarkEnd w:id="672"/>
      <w:r>
        <w:rPr>
          <w:rFonts w:ascii="Times New Roman;Times;Serif" w:hAnsi="Times New Roman;Times;Serif"/>
          <w:b/>
          <w:i w:val="false"/>
          <w:caps/>
          <w:sz w:val="20"/>
        </w:rPr>
        <w:t xml:space="preserve">NOTE 9 – </w:t>
      </w:r>
      <w:bookmarkStart w:id="673" w:name="xdx_826_zrU98KkOXnYb"/>
      <w:bookmarkEnd w:id="673"/>
      <w:r>
        <w:rPr>
          <w:rFonts w:ascii="Times New Roman;Times;Serif" w:hAnsi="Times New Roman;Times;Serif"/>
          <w:b/>
          <w:i w:val="false"/>
          <w:caps/>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4" w:name="xdx_894_eus-gaap--FairValueAssetsAndLiab"/>
      <w:bookmarkEnd w:id="674"/>
      <w:r>
        <w:rPr>
          <w:rFonts w:ascii="Times New Roman;Times;Serif" w:hAnsi="Times New Roman;Times;Serif"/>
          <w:b w:val="false"/>
          <w:i w:val="false"/>
          <w:caps w:val="false"/>
          <w:smallCaps w:val="false"/>
          <w:sz w:val="20"/>
        </w:rPr>
        <w:t>The following tables summarize the Company’s assets and liabilities that are measured at fair value in the condensed consolidated financial statements:</w:t>
      </w:r>
    </w:p>
    <w:p>
      <w:pPr>
        <w:pStyle w:val="TextBody"/>
        <w:bidi w:val="0"/>
        <w:spacing w:before="0" w:after="0"/>
        <w:ind w:left="0" w:right="0" w:hanging="0"/>
        <w:jc w:val="both"/>
        <w:rPr>
          <w:caps w:val="false"/>
          <w:smallCaps w:val="false"/>
        </w:rPr>
      </w:pPr>
      <w:r>
        <w:rPr>
          <w:caps w:val="false"/>
          <w:smallCaps w:val="false"/>
        </w:rPr>
        <w:t> </w:t>
      </w:r>
      <w:bookmarkStart w:id="675" w:name="xdx_8BB_zF9GCvs5vds6"/>
      <w:bookmarkEnd w:id="675"/>
      <w:r>
        <w:rPr>
          <w:rFonts w:ascii="Times New Roman;Times;Serif" w:hAnsi="Times New Roman;Times;Serif"/>
          <w:b w:val="false"/>
          <w:i w:val="false"/>
          <w:caps w:val="false"/>
          <w:smallCaps w:val="false"/>
          <w:sz w:val="20"/>
        </w:rPr>
        <w:t>SCHEDULE OF ASSETS AND LIABILITIES ARE MEASURED AT FAIR VALUE</w:t>
      </w:r>
    </w:p>
    <w:tbl>
      <w:tblPr>
        <w:tblW w:w="9485" w:type="dxa"/>
        <w:jc w:val="left"/>
        <w:tblInd w:w="0" w:type="dxa"/>
        <w:tblLayout w:type="fixed"/>
        <w:tblCellMar>
          <w:top w:w="0" w:type="dxa"/>
          <w:left w:w="0" w:type="dxa"/>
          <w:bottom w:w="0" w:type="dxa"/>
          <w:right w:w="0" w:type="dxa"/>
        </w:tblCellMar>
      </w:tblPr>
      <w:tblGrid>
        <w:gridCol w:w="3200"/>
        <w:gridCol w:w="60"/>
        <w:gridCol w:w="245"/>
        <w:gridCol w:w="1193"/>
        <w:gridCol w:w="105"/>
        <w:gridCol w:w="105"/>
        <w:gridCol w:w="787"/>
        <w:gridCol w:w="535"/>
        <w:gridCol w:w="105"/>
        <w:gridCol w:w="105"/>
        <w:gridCol w:w="787"/>
        <w:gridCol w:w="535"/>
        <w:gridCol w:w="105"/>
        <w:gridCol w:w="105"/>
        <w:gridCol w:w="245"/>
        <w:gridCol w:w="1193"/>
        <w:gridCol w:w="75"/>
      </w:tblGrid>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76" w:name="xdx_495_20251231__us-gaap--FairValueByFa"/>
            <w:bookmarkEnd w:id="676"/>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bookmarkStart w:id="677" w:name="xdx_496_20251231__us-gaap--FairValueByFa"/>
            <w:bookmarkEnd w:id="677"/>
          </w:p>
        </w:tc>
        <w:tc>
          <w:tcPr>
            <w:tcW w:w="13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bookmarkStart w:id="678" w:name="xdx_494_20251231__us-gaap--FairValueByFa"/>
            <w:bookmarkEnd w:id="678"/>
          </w:p>
        </w:tc>
        <w:tc>
          <w:tcPr>
            <w:tcW w:w="13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bookmarkStart w:id="679" w:name="xdx_494_20251231_zSOlmuXYro3l"/>
            <w:bookmarkEnd w:id="679"/>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15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Fair Value Measurements as at December 31, 2025 (audited)</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bookmarkStart w:id="680" w:name="xdx_40C_eus-gaap--AssetsFairValueDisclos"/>
            <w:bookmarkEnd w:id="680"/>
          </w:p>
        </w:tc>
      </w:tr>
      <w:tr>
        <w:trPr/>
        <w:tc>
          <w:tcPr>
            <w:tcW w:w="3200"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caps/>
              </w:rPr>
            </w:pPr>
            <w:r>
              <w:rPr>
                <w:caps/>
              </w:rPr>
              <w:t> </w:t>
            </w:r>
          </w:p>
        </w:tc>
        <w:tc>
          <w:tcPr>
            <w:tcW w:w="787" w:type="dxa"/>
            <w:tcBorders/>
            <w:shd w:fill="CCEEFF" w:val="clear"/>
            <w:vAlign w:val="center"/>
          </w:tcPr>
          <w:p>
            <w:pPr>
              <w:pStyle w:val="TableContents"/>
              <w:bidi w:val="0"/>
              <w:spacing w:before="0" w:after="283"/>
              <w:jc w:val="left"/>
              <w:rPr>
                <w:caps/>
              </w:rPr>
            </w:pPr>
            <w:r>
              <w:rPr>
                <w:caps/>
              </w:rPr>
              <w:t> </w:t>
            </w:r>
          </w:p>
        </w:tc>
        <w:tc>
          <w:tcPr>
            <w:tcW w:w="535" w:type="dxa"/>
            <w:tcBorders/>
            <w:shd w:fill="CCEEFF" w:val="clear"/>
            <w:vAlign w:val="center"/>
          </w:tcPr>
          <w:p>
            <w:pPr>
              <w:pStyle w:val="TableContents"/>
              <w:bidi w:val="0"/>
              <w:spacing w:before="0" w:after="283"/>
              <w:jc w:val="right"/>
              <w:rPr>
                <w:caps/>
              </w:rPr>
            </w:pPr>
            <w:r>
              <w:rPr>
                <w:caps/>
              </w:rPr>
              <w:t> </w:t>
            </w:r>
          </w:p>
        </w:tc>
        <w:tc>
          <w:tcPr>
            <w:tcW w:w="105" w:type="dxa"/>
            <w:tcBorders/>
            <w:shd w:fill="CCEEFF" w:val="clear"/>
            <w:vAlign w:val="center"/>
          </w:tcPr>
          <w:p>
            <w:pPr>
              <w:pStyle w:val="TableContents"/>
              <w:bidi w:val="0"/>
              <w:spacing w:before="0" w:after="283"/>
              <w:jc w:val="left"/>
              <w:rPr>
                <w:caps/>
              </w:rPr>
            </w:pPr>
            <w:r>
              <w:rPr>
                <w:caps/>
              </w:rPr>
              <w:t> </w:t>
            </w:r>
          </w:p>
        </w:tc>
        <w:tc>
          <w:tcPr>
            <w:tcW w:w="10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caps/>
              </w:rPr>
            </w:pPr>
            <w:r>
              <w:rPr>
                <w:caps/>
              </w:rPr>
              <w:t> </w:t>
            </w:r>
          </w:p>
        </w:tc>
        <w:tc>
          <w:tcPr>
            <w:tcW w:w="245" w:type="dxa"/>
            <w:tcBorders/>
            <w:shd w:fill="CCEEFF" w:val="clear"/>
            <w:vAlign w:val="center"/>
          </w:tcPr>
          <w:p>
            <w:pPr>
              <w:pStyle w:val="TableContents"/>
              <w:bidi w:val="0"/>
              <w:spacing w:before="0" w:after="283"/>
              <w:jc w:val="left"/>
              <w:rPr>
                <w:caps/>
              </w:rPr>
            </w:pPr>
            <w:r>
              <w:rPr>
                <w:caps/>
              </w:rPr>
              <w:t> </w:t>
            </w:r>
          </w:p>
        </w:tc>
        <w:tc>
          <w:tcPr>
            <w:tcW w:w="1193" w:type="dxa"/>
            <w:tcBorders/>
            <w:shd w:fill="CCEEFF" w:val="clear"/>
            <w:vAlign w:val="center"/>
          </w:tcPr>
          <w:p>
            <w:pPr>
              <w:pStyle w:val="TableContents"/>
              <w:bidi w:val="0"/>
              <w:spacing w:before="0" w:after="283"/>
              <w:jc w:val="right"/>
              <w:rPr>
                <w:caps/>
              </w:rPr>
            </w:pPr>
            <w:r>
              <w:rPr>
                <w:caps/>
              </w:rPr>
              <w:t> </w:t>
            </w:r>
          </w:p>
        </w:tc>
        <w:tc>
          <w:tcPr>
            <w:tcW w:w="75" w:type="dxa"/>
            <w:tcBorders/>
            <w:shd w:fill="CCEEFF" w:val="clear"/>
            <w:vAlign w:val="center"/>
          </w:tcPr>
          <w:p>
            <w:pPr>
              <w:pStyle w:val="TableContents"/>
              <w:bidi w:val="0"/>
              <w:spacing w:before="0" w:after="283"/>
              <w:jc w:val="left"/>
              <w:rPr>
                <w:caps/>
              </w:rPr>
            </w:pPr>
            <w:r>
              <w:rPr>
                <w:caps/>
              </w:rPr>
              <w:t> </w:t>
            </w:r>
            <w:bookmarkStart w:id="681" w:name="xdx_40A_eus-gaap--InvestmentsFairValueDi"/>
            <w:bookmarkEnd w:id="681"/>
          </w:p>
        </w:tc>
      </w:tr>
      <w:tr>
        <w:trPr/>
        <w:tc>
          <w:tcPr>
            <w:tcW w:w="3200" w:type="dxa"/>
            <w:tcBorders/>
            <w:shd w:fill="FFFFFF" w:val="clear"/>
            <w:vAlign w:val="center"/>
          </w:tcPr>
          <w:p>
            <w:pPr>
              <w:pStyle w:val="TableContents"/>
              <w:bidi w:val="0"/>
              <w:spacing w:before="0" w:after="283"/>
              <w:jc w:val="both"/>
              <w:rPr/>
            </w:pPr>
            <w:r>
              <w:rPr/>
              <w:t xml:space="preserve">Investment in equity securities </w:t>
            </w:r>
            <w:bookmarkStart w:id="682" w:name="xdx_F45_zPPzI3Y4e84f"/>
            <w:bookmarkEnd w:id="682"/>
            <w:r>
              <w:rPr/>
              <w:t>(a)</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37,374</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8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8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37,374</w:t>
            </w:r>
          </w:p>
        </w:tc>
        <w:tc>
          <w:tcPr>
            <w:tcW w:w="75" w:type="dxa"/>
            <w:tcBorders/>
            <w:shd w:fill="FFFFFF" w:val="clear"/>
            <w:vAlign w:val="center"/>
          </w:tcPr>
          <w:p>
            <w:pPr>
              <w:pStyle w:val="TableContents"/>
              <w:bidi w:val="0"/>
              <w:spacing w:before="0" w:after="283"/>
              <w:jc w:val="left"/>
              <w:rPr/>
            </w:pPr>
            <w:r>
              <w:rPr/>
              <w:t> </w:t>
            </w:r>
            <w:bookmarkStart w:id="683" w:name="xdx_407_eus-gaap--AssetsFairValueDisclos"/>
            <w:bookmarkEnd w:id="683"/>
          </w:p>
        </w:tc>
      </w:tr>
      <w:tr>
        <w:trPr/>
        <w:tc>
          <w:tcPr>
            <w:tcW w:w="3200" w:type="dxa"/>
            <w:tcBorders/>
            <w:shd w:fill="CCEEFF" w:val="clear"/>
            <w:vAlign w:val="center"/>
          </w:tcPr>
          <w:p>
            <w:pPr>
              <w:pStyle w:val="TableContents"/>
              <w:bidi w:val="0"/>
              <w:spacing w:before="0" w:after="283"/>
              <w:jc w:val="both"/>
              <w:rPr/>
            </w:pPr>
            <w:r>
              <w:rPr/>
              <w:t>Total financial assets</w:t>
            </w:r>
          </w:p>
        </w:tc>
        <w:tc>
          <w:tcPr>
            <w:tcW w:w="60" w:type="dxa"/>
            <w:tcBorders/>
            <w:shd w:fill="CCEEFF" w:val="clear"/>
            <w:vAlign w:val="center"/>
          </w:tcPr>
          <w:p>
            <w:pPr>
              <w:pStyle w:val="TableContents"/>
              <w:bidi w:val="0"/>
              <w:spacing w:before="0" w:after="283"/>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37,374</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37,374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969" w:type="dxa"/>
        <w:jc w:val="left"/>
        <w:tblInd w:w="0" w:type="dxa"/>
        <w:tblLayout w:type="fixed"/>
        <w:tblCellMar>
          <w:top w:w="0" w:type="dxa"/>
          <w:left w:w="0" w:type="dxa"/>
          <w:bottom w:w="0" w:type="dxa"/>
          <w:right w:w="0" w:type="dxa"/>
        </w:tblCellMar>
      </w:tblPr>
      <w:tblGrid>
        <w:gridCol w:w="3200"/>
        <w:gridCol w:w="60"/>
        <w:gridCol w:w="185"/>
        <w:gridCol w:w="899"/>
        <w:gridCol w:w="79"/>
        <w:gridCol w:w="79"/>
        <w:gridCol w:w="593"/>
        <w:gridCol w:w="403"/>
        <w:gridCol w:w="79"/>
        <w:gridCol w:w="79"/>
        <w:gridCol w:w="593"/>
        <w:gridCol w:w="403"/>
        <w:gridCol w:w="79"/>
        <w:gridCol w:w="79"/>
        <w:gridCol w:w="185"/>
        <w:gridCol w:w="899"/>
        <w:gridCol w:w="75"/>
      </w:tblGrid>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84" w:name="xdx_49B_20260630__us-gaap--FairValueByFa"/>
            <w:bookmarkEnd w:id="684"/>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bookmarkStart w:id="685" w:name="xdx_495_20260630__us-gaap--FairValueByFa"/>
            <w:bookmarkEnd w:id="685"/>
          </w:p>
        </w:tc>
        <w:tc>
          <w:tcPr>
            <w:tcW w:w="9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bookmarkStart w:id="686" w:name="xdx_497_20260630__us-gaap--FairValueByFa"/>
            <w:bookmarkEnd w:id="686"/>
          </w:p>
        </w:tc>
        <w:tc>
          <w:tcPr>
            <w:tcW w:w="9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bookmarkStart w:id="687" w:name="xdx_499_20260630_zlOke68AdoYd"/>
            <w:bookmarkEnd w:id="687"/>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63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Fair Value Measurements as at June 30, 2026</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bookmarkStart w:id="688" w:name="xdx_40D_eus-gaap--AssetsFairValueDisclos"/>
            <w:bookmarkEnd w:id="688"/>
          </w:p>
        </w:tc>
      </w:tr>
      <w:tr>
        <w:trPr/>
        <w:tc>
          <w:tcPr>
            <w:tcW w:w="3200"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89" w:name="xdx_40C_eus-gaap--InvestmentsFairValueDi"/>
            <w:bookmarkEnd w:id="689"/>
          </w:p>
        </w:tc>
      </w:tr>
      <w:tr>
        <w:trPr/>
        <w:tc>
          <w:tcPr>
            <w:tcW w:w="3200" w:type="dxa"/>
            <w:tcBorders/>
            <w:shd w:fill="FFFFFF" w:val="clear"/>
            <w:vAlign w:val="center"/>
          </w:tcPr>
          <w:p>
            <w:pPr>
              <w:pStyle w:val="TableContents"/>
              <w:bidi w:val="0"/>
              <w:spacing w:before="0" w:after="283"/>
              <w:jc w:val="both"/>
              <w:rPr/>
            </w:pPr>
            <w:r>
              <w:rPr/>
              <w:t xml:space="preserve">Investment in equity securities </w:t>
            </w:r>
            <w:bookmarkStart w:id="690" w:name="xdx_F46_zAX3Fc8vAZEg"/>
            <w:bookmarkEnd w:id="690"/>
            <w:r>
              <w:rPr/>
              <w:t>(a)</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pPr>
            <w:r>
              <w:rPr/>
              <w:t>28,802</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9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9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pPr>
            <w:r>
              <w:rPr/>
              <w:t>28,802</w:t>
            </w:r>
          </w:p>
        </w:tc>
        <w:tc>
          <w:tcPr>
            <w:tcW w:w="75" w:type="dxa"/>
            <w:tcBorders/>
            <w:shd w:fill="FFFFFF" w:val="clear"/>
            <w:vAlign w:val="center"/>
          </w:tcPr>
          <w:p>
            <w:pPr>
              <w:pStyle w:val="TableContents"/>
              <w:bidi w:val="0"/>
              <w:spacing w:before="0" w:after="283"/>
              <w:jc w:val="left"/>
              <w:rPr/>
            </w:pPr>
            <w:r>
              <w:rPr/>
              <w:t> </w:t>
            </w:r>
            <w:bookmarkStart w:id="691" w:name="xdx_409_eus-gaap--AssetsFairValueDisclos"/>
            <w:bookmarkEnd w:id="691"/>
          </w:p>
        </w:tc>
      </w:tr>
      <w:tr>
        <w:trPr/>
        <w:tc>
          <w:tcPr>
            <w:tcW w:w="3200" w:type="dxa"/>
            <w:tcBorders/>
            <w:shd w:fill="CCEEFF" w:val="clear"/>
            <w:vAlign w:val="center"/>
          </w:tcPr>
          <w:p>
            <w:pPr>
              <w:pStyle w:val="TableContents"/>
              <w:bidi w:val="0"/>
              <w:spacing w:before="0" w:after="283"/>
              <w:jc w:val="both"/>
              <w:rPr/>
            </w:pPr>
            <w:r>
              <w:rPr/>
              <w:t>Total financial assets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jc w:val="right"/>
              <w:rPr/>
            </w:pPr>
            <w:r>
              <w:rPr/>
              <w:t>28,802</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0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0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jc w:val="right"/>
              <w:rPr/>
            </w:pPr>
            <w:r>
              <w:rPr/>
              <w:t>28,802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839" w:type="dxa"/>
        <w:jc w:val="left"/>
        <w:tblInd w:w="0" w:type="dxa"/>
        <w:tblLayout w:type="fixed"/>
        <w:tblCellMar>
          <w:top w:w="0" w:type="dxa"/>
          <w:left w:w="0" w:type="dxa"/>
          <w:bottom w:w="0" w:type="dxa"/>
          <w:right w:w="0" w:type="dxa"/>
        </w:tblCellMar>
      </w:tblPr>
      <w:tblGrid>
        <w:gridCol w:w="2555"/>
        <w:gridCol w:w="60"/>
        <w:gridCol w:w="831"/>
        <w:gridCol w:w="564"/>
        <w:gridCol w:w="111"/>
        <w:gridCol w:w="111"/>
        <w:gridCol w:w="831"/>
        <w:gridCol w:w="564"/>
        <w:gridCol w:w="111"/>
        <w:gridCol w:w="111"/>
        <w:gridCol w:w="279"/>
        <w:gridCol w:w="1118"/>
        <w:gridCol w:w="111"/>
        <w:gridCol w:w="111"/>
        <w:gridCol w:w="259"/>
        <w:gridCol w:w="1037"/>
        <w:gridCol w:w="75"/>
      </w:tblGrid>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92" w:name="xdx_49A_20251231__us-gaap--FairValueByFa"/>
            <w:bookmarkEnd w:id="692"/>
          </w:p>
        </w:tc>
        <w:tc>
          <w:tcPr>
            <w:tcW w:w="1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bookmarkStart w:id="693" w:name="xdx_494_20251231__us-gaap--FairValueByFa"/>
            <w:bookmarkEnd w:id="693"/>
          </w:p>
        </w:tc>
        <w:tc>
          <w:tcPr>
            <w:tcW w:w="1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bookmarkStart w:id="694" w:name="xdx_495_20251231__us-gaap--FairValueByFa"/>
            <w:bookmarkEnd w:id="694"/>
          </w:p>
        </w:tc>
        <w:tc>
          <w:tcPr>
            <w:tcW w:w="13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bookmarkStart w:id="695" w:name="xdx_493_20251231_zDUOUKIVTU21"/>
            <w:bookmarkEnd w:id="695"/>
          </w:p>
        </w:tc>
        <w:tc>
          <w:tcPr>
            <w:tcW w:w="12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14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Fair Value Measurements as at December 31, 2025 (audited)</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bookmarkStart w:id="696" w:name="xdx_40F_eus-gaap--LiabilitiesFairValueDi"/>
            <w:bookmarkEnd w:id="696"/>
          </w:p>
        </w:tc>
      </w:tr>
      <w:tr>
        <w:trPr/>
        <w:tc>
          <w:tcPr>
            <w:tcW w:w="2555" w:type="dxa"/>
            <w:tcBorders/>
            <w:shd w:fill="CCEEFF" w:val="clear"/>
            <w:vAlign w:val="center"/>
          </w:tcPr>
          <w:p>
            <w:pPr>
              <w:pStyle w:val="TableContents"/>
              <w:bidi w:val="0"/>
              <w:spacing w:before="0" w:after="283"/>
              <w:jc w:val="both"/>
              <w:rPr/>
            </w:pPr>
            <w:r>
              <w:rPr/>
              <w:t>Liabilities</w:t>
            </w:r>
          </w:p>
        </w:tc>
        <w:tc>
          <w:tcPr>
            <w:tcW w:w="60" w:type="dxa"/>
            <w:tcBorders/>
            <w:shd w:fill="CCEEFF" w:val="clear"/>
            <w:vAlign w:val="center"/>
          </w:tcPr>
          <w:p>
            <w:pPr>
              <w:pStyle w:val="TableContents"/>
              <w:bidi w:val="0"/>
              <w:spacing w:before="0" w:after="283"/>
              <w:jc w:val="left"/>
              <w:rPr>
                <w:caps/>
              </w:rPr>
            </w:pPr>
            <w:r>
              <w:rPr>
                <w:caps/>
              </w:rPr>
              <w:t> </w:t>
            </w:r>
          </w:p>
        </w:tc>
        <w:tc>
          <w:tcPr>
            <w:tcW w:w="831" w:type="dxa"/>
            <w:tcBorders/>
            <w:shd w:fill="CCEEFF" w:val="clear"/>
            <w:vAlign w:val="center"/>
          </w:tcPr>
          <w:p>
            <w:pPr>
              <w:pStyle w:val="TableContents"/>
              <w:bidi w:val="0"/>
              <w:spacing w:before="0" w:after="283"/>
              <w:jc w:val="left"/>
              <w:rPr>
                <w:caps/>
              </w:rPr>
            </w:pPr>
            <w:r>
              <w:rPr>
                <w:caps/>
              </w:rPr>
              <w:t> </w:t>
            </w:r>
          </w:p>
        </w:tc>
        <w:tc>
          <w:tcPr>
            <w:tcW w:w="564" w:type="dxa"/>
            <w:tcBorders/>
            <w:shd w:fill="CCEEFF" w:val="clear"/>
            <w:vAlign w:val="center"/>
          </w:tcPr>
          <w:p>
            <w:pPr>
              <w:pStyle w:val="TableContents"/>
              <w:bidi w:val="0"/>
              <w:spacing w:before="0" w:after="283"/>
              <w:jc w:val="right"/>
              <w:rPr>
                <w:caps/>
              </w:rPr>
            </w:pPr>
            <w:r>
              <w:rPr>
                <w:caps/>
              </w:rPr>
              <w:t> </w:t>
            </w:r>
          </w:p>
        </w:tc>
        <w:tc>
          <w:tcPr>
            <w:tcW w:w="111" w:type="dxa"/>
            <w:tcBorders/>
            <w:shd w:fill="CCEEFF" w:val="clear"/>
            <w:vAlign w:val="center"/>
          </w:tcPr>
          <w:p>
            <w:pPr>
              <w:pStyle w:val="TableContents"/>
              <w:bidi w:val="0"/>
              <w:spacing w:before="0" w:after="283"/>
              <w:jc w:val="left"/>
              <w:rPr>
                <w:caps/>
              </w:rPr>
            </w:pPr>
            <w:r>
              <w:rPr>
                <w:caps/>
              </w:rPr>
              <w:t> </w:t>
            </w:r>
          </w:p>
        </w:tc>
        <w:tc>
          <w:tcPr>
            <w:tcW w:w="111" w:type="dxa"/>
            <w:tcBorders/>
            <w:shd w:fill="CCEEFF" w:val="clear"/>
            <w:vAlign w:val="center"/>
          </w:tcPr>
          <w:p>
            <w:pPr>
              <w:pStyle w:val="TableContents"/>
              <w:bidi w:val="0"/>
              <w:spacing w:before="0" w:after="283"/>
              <w:jc w:val="left"/>
              <w:rPr>
                <w:caps/>
              </w:rPr>
            </w:pPr>
            <w:r>
              <w:rPr>
                <w:caps/>
              </w:rPr>
              <w:t> </w:t>
            </w:r>
          </w:p>
        </w:tc>
        <w:tc>
          <w:tcPr>
            <w:tcW w:w="831" w:type="dxa"/>
            <w:tcBorders/>
            <w:shd w:fill="CCEEFF" w:val="clear"/>
            <w:vAlign w:val="center"/>
          </w:tcPr>
          <w:p>
            <w:pPr>
              <w:pStyle w:val="TableContents"/>
              <w:bidi w:val="0"/>
              <w:spacing w:before="0" w:after="283"/>
              <w:jc w:val="left"/>
              <w:rPr>
                <w:caps/>
              </w:rPr>
            </w:pPr>
            <w:r>
              <w:rPr>
                <w:caps/>
              </w:rPr>
              <w:t> </w:t>
            </w:r>
          </w:p>
        </w:tc>
        <w:tc>
          <w:tcPr>
            <w:tcW w:w="564" w:type="dxa"/>
            <w:tcBorders/>
            <w:shd w:fill="CCEEFF" w:val="clear"/>
            <w:vAlign w:val="center"/>
          </w:tcPr>
          <w:p>
            <w:pPr>
              <w:pStyle w:val="TableContents"/>
              <w:bidi w:val="0"/>
              <w:spacing w:before="0" w:after="283"/>
              <w:jc w:val="right"/>
              <w:rPr>
                <w:caps/>
              </w:rPr>
            </w:pPr>
            <w:r>
              <w:rPr>
                <w:caps/>
              </w:rPr>
              <w:t> </w:t>
            </w:r>
          </w:p>
        </w:tc>
        <w:tc>
          <w:tcPr>
            <w:tcW w:w="111" w:type="dxa"/>
            <w:tcBorders/>
            <w:shd w:fill="CCEEFF" w:val="clear"/>
            <w:vAlign w:val="center"/>
          </w:tcPr>
          <w:p>
            <w:pPr>
              <w:pStyle w:val="TableContents"/>
              <w:bidi w:val="0"/>
              <w:spacing w:before="0" w:after="283"/>
              <w:jc w:val="left"/>
              <w:rPr>
                <w:caps/>
              </w:rPr>
            </w:pPr>
            <w:r>
              <w:rPr>
                <w:caps/>
              </w:rPr>
              <w:t> </w:t>
            </w:r>
          </w:p>
        </w:tc>
        <w:tc>
          <w:tcPr>
            <w:tcW w:w="111" w:type="dxa"/>
            <w:tcBorders/>
            <w:shd w:fill="CCEEFF" w:val="clear"/>
            <w:vAlign w:val="center"/>
          </w:tcPr>
          <w:p>
            <w:pPr>
              <w:pStyle w:val="TableContents"/>
              <w:bidi w:val="0"/>
              <w:spacing w:before="0" w:after="283"/>
              <w:jc w:val="left"/>
              <w:rPr>
                <w:caps/>
              </w:rPr>
            </w:pPr>
            <w:r>
              <w:rPr>
                <w:caps/>
              </w:rPr>
              <w:t> </w:t>
            </w:r>
          </w:p>
        </w:tc>
        <w:tc>
          <w:tcPr>
            <w:tcW w:w="279" w:type="dxa"/>
            <w:tcBorders/>
            <w:shd w:fill="CCEEFF" w:val="clear"/>
            <w:vAlign w:val="center"/>
          </w:tcPr>
          <w:p>
            <w:pPr>
              <w:pStyle w:val="TableContents"/>
              <w:bidi w:val="0"/>
              <w:spacing w:before="0" w:after="283"/>
              <w:jc w:val="left"/>
              <w:rPr>
                <w:caps/>
              </w:rPr>
            </w:pPr>
            <w:r>
              <w:rPr>
                <w:caps/>
              </w:rPr>
              <w:t> </w:t>
            </w:r>
          </w:p>
        </w:tc>
        <w:tc>
          <w:tcPr>
            <w:tcW w:w="1118" w:type="dxa"/>
            <w:tcBorders/>
            <w:shd w:fill="CCEEFF" w:val="clear"/>
            <w:vAlign w:val="center"/>
          </w:tcPr>
          <w:p>
            <w:pPr>
              <w:pStyle w:val="TableContents"/>
              <w:bidi w:val="0"/>
              <w:spacing w:before="0" w:after="283"/>
              <w:jc w:val="right"/>
              <w:rPr>
                <w:caps/>
              </w:rPr>
            </w:pPr>
            <w:r>
              <w:rPr>
                <w:caps/>
              </w:rPr>
              <w:t> </w:t>
            </w:r>
          </w:p>
        </w:tc>
        <w:tc>
          <w:tcPr>
            <w:tcW w:w="111" w:type="dxa"/>
            <w:tcBorders/>
            <w:shd w:fill="CCEEFF" w:val="clear"/>
            <w:vAlign w:val="center"/>
          </w:tcPr>
          <w:p>
            <w:pPr>
              <w:pStyle w:val="TableContents"/>
              <w:bidi w:val="0"/>
              <w:spacing w:before="0" w:after="283"/>
              <w:jc w:val="left"/>
              <w:rPr>
                <w:caps/>
              </w:rPr>
            </w:pPr>
            <w:r>
              <w:rPr>
                <w:caps/>
              </w:rPr>
              <w:t> </w:t>
            </w:r>
          </w:p>
        </w:tc>
        <w:tc>
          <w:tcPr>
            <w:tcW w:w="111" w:type="dxa"/>
            <w:tcBorders/>
            <w:shd w:fill="CCEEFF" w:val="clear"/>
            <w:vAlign w:val="center"/>
          </w:tcPr>
          <w:p>
            <w:pPr>
              <w:pStyle w:val="TableContents"/>
              <w:bidi w:val="0"/>
              <w:spacing w:before="0" w:after="283"/>
              <w:jc w:val="left"/>
              <w:rPr>
                <w:caps/>
              </w:rPr>
            </w:pPr>
            <w:r>
              <w:rPr>
                <w:caps/>
              </w:rPr>
              <w:t> </w:t>
            </w:r>
          </w:p>
        </w:tc>
        <w:tc>
          <w:tcPr>
            <w:tcW w:w="259" w:type="dxa"/>
            <w:tcBorders/>
            <w:shd w:fill="CCEEFF" w:val="clear"/>
            <w:vAlign w:val="center"/>
          </w:tcPr>
          <w:p>
            <w:pPr>
              <w:pStyle w:val="TableContents"/>
              <w:bidi w:val="0"/>
              <w:spacing w:before="0" w:after="283"/>
              <w:jc w:val="left"/>
              <w:rPr>
                <w:caps/>
              </w:rPr>
            </w:pPr>
            <w:r>
              <w:rPr>
                <w:caps/>
              </w:rPr>
              <w:t> </w:t>
            </w:r>
          </w:p>
        </w:tc>
        <w:tc>
          <w:tcPr>
            <w:tcW w:w="1037" w:type="dxa"/>
            <w:tcBorders/>
            <w:shd w:fill="CCEEFF" w:val="clear"/>
            <w:vAlign w:val="center"/>
          </w:tcPr>
          <w:p>
            <w:pPr>
              <w:pStyle w:val="TableContents"/>
              <w:bidi w:val="0"/>
              <w:spacing w:before="0" w:after="283"/>
              <w:jc w:val="right"/>
              <w:rPr>
                <w:caps/>
              </w:rPr>
            </w:pPr>
            <w:r>
              <w:rPr>
                <w:caps/>
              </w:rPr>
              <w:t> </w:t>
            </w:r>
          </w:p>
        </w:tc>
        <w:tc>
          <w:tcPr>
            <w:tcW w:w="75" w:type="dxa"/>
            <w:tcBorders/>
            <w:shd w:fill="CCEEFF" w:val="clear"/>
            <w:vAlign w:val="center"/>
          </w:tcPr>
          <w:p>
            <w:pPr>
              <w:pStyle w:val="TableContents"/>
              <w:bidi w:val="0"/>
              <w:spacing w:before="0" w:after="283"/>
              <w:jc w:val="left"/>
              <w:rPr>
                <w:caps/>
              </w:rPr>
            </w:pPr>
            <w:r>
              <w:rPr>
                <w:caps/>
              </w:rPr>
              <w:t> </w:t>
            </w:r>
            <w:bookmarkStart w:id="697" w:name="xdx_405_ecustom--SponsorEarnOutSharesFai"/>
            <w:bookmarkEnd w:id="697"/>
          </w:p>
        </w:tc>
      </w:tr>
      <w:tr>
        <w:trPr/>
        <w:tc>
          <w:tcPr>
            <w:tcW w:w="2555" w:type="dxa"/>
            <w:tcBorders/>
            <w:shd w:fill="FFFFFF" w:val="clear"/>
            <w:vAlign w:val="center"/>
          </w:tcPr>
          <w:p>
            <w:pPr>
              <w:pStyle w:val="TableContents"/>
              <w:bidi w:val="0"/>
              <w:spacing w:before="0" w:after="283"/>
              <w:jc w:val="both"/>
              <w:rPr/>
            </w:pPr>
            <w:r>
              <w:rPr/>
              <w:t xml:space="preserve">Sponsor earnout shares </w:t>
            </w:r>
            <w:bookmarkStart w:id="698" w:name="xdx_F48_zSfnstFcmlj6"/>
            <w:bookmarkEnd w:id="698"/>
            <w:r>
              <w:rPr/>
              <w:t>(b)</w:t>
            </w:r>
          </w:p>
        </w:tc>
        <w:tc>
          <w:tcPr>
            <w:tcW w:w="60" w:type="dxa"/>
            <w:tcBorders/>
            <w:shd w:fill="FFFFFF" w:val="clear"/>
            <w:vAlign w:val="center"/>
          </w:tcPr>
          <w:p>
            <w:pPr>
              <w:pStyle w:val="TableContents"/>
              <w:bidi w:val="0"/>
              <w:spacing w:before="0" w:after="283"/>
              <w:jc w:val="left"/>
              <w:rPr/>
            </w:pPr>
            <w:r>
              <w:rPr/>
              <w:t> </w:t>
            </w:r>
          </w:p>
        </w:tc>
        <w:tc>
          <w:tcPr>
            <w:tcW w:w="8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pPr>
            <w:r>
              <w:rPr/>
              <w:t>4,700</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shd w:fill="FFFFFF" w:val="clear"/>
            <w:tcMar>
              <w:bottom w:w="28" w:type="dxa"/>
            </w:tcMar>
            <w:vAlign w:val="center"/>
          </w:tcPr>
          <w:p>
            <w:pPr>
              <w:pStyle w:val="TableContents"/>
              <w:bidi w:val="0"/>
              <w:spacing w:before="0" w:after="283"/>
              <w:jc w:val="right"/>
              <w:rPr/>
            </w:pPr>
            <w:r>
              <w:rPr/>
              <w:t>4,700</w:t>
            </w:r>
          </w:p>
        </w:tc>
        <w:tc>
          <w:tcPr>
            <w:tcW w:w="75" w:type="dxa"/>
            <w:tcBorders/>
            <w:shd w:fill="FFFFFF" w:val="clear"/>
            <w:vAlign w:val="center"/>
          </w:tcPr>
          <w:p>
            <w:pPr>
              <w:pStyle w:val="TableContents"/>
              <w:bidi w:val="0"/>
              <w:spacing w:before="0" w:after="283"/>
              <w:jc w:val="left"/>
              <w:rPr/>
            </w:pPr>
            <w:r>
              <w:rPr/>
              <w:t> </w:t>
            </w:r>
            <w:bookmarkStart w:id="699" w:name="xdx_409_eus-gaap--FinancialLiabilitiesFa"/>
            <w:bookmarkEnd w:id="699"/>
          </w:p>
        </w:tc>
      </w:tr>
      <w:tr>
        <w:trPr/>
        <w:tc>
          <w:tcPr>
            <w:tcW w:w="2555" w:type="dxa"/>
            <w:tcBorders/>
            <w:shd w:fill="CCEEFF" w:val="clear"/>
            <w:vAlign w:val="center"/>
          </w:tcPr>
          <w:p>
            <w:pPr>
              <w:pStyle w:val="TableContents"/>
              <w:bidi w:val="0"/>
              <w:spacing w:before="0" w:after="283"/>
              <w:jc w:val="both"/>
              <w:rPr/>
            </w:pPr>
            <w:r>
              <w:rPr/>
              <w:t>Total financial liabilities</w:t>
            </w:r>
          </w:p>
        </w:tc>
        <w:tc>
          <w:tcPr>
            <w:tcW w:w="60" w:type="dxa"/>
            <w:tcBorders/>
            <w:shd w:fill="CCEEFF" w:val="clear"/>
            <w:vAlign w:val="center"/>
          </w:tcPr>
          <w:p>
            <w:pPr>
              <w:pStyle w:val="TableContents"/>
              <w:bidi w:val="0"/>
              <w:spacing w:before="0" w:after="283"/>
              <w:jc w:val="left"/>
              <w:rPr/>
            </w:pPr>
            <w:r>
              <w:rPr/>
              <w:t> </w:t>
            </w:r>
          </w:p>
        </w:tc>
        <w:tc>
          <w:tcPr>
            <w:tcW w:w="8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pPr>
            <w:r>
              <w:rPr/>
              <w:t>4,700</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4,700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319" w:type="dxa"/>
        <w:jc w:val="left"/>
        <w:tblInd w:w="0" w:type="dxa"/>
        <w:tblLayout w:type="fixed"/>
        <w:tblCellMar>
          <w:top w:w="0" w:type="dxa"/>
          <w:left w:w="0" w:type="dxa"/>
          <w:bottom w:w="0" w:type="dxa"/>
          <w:right w:w="0" w:type="dxa"/>
        </w:tblCellMar>
      </w:tblPr>
      <w:tblGrid>
        <w:gridCol w:w="2555"/>
        <w:gridCol w:w="60"/>
        <w:gridCol w:w="626"/>
        <w:gridCol w:w="425"/>
        <w:gridCol w:w="83"/>
        <w:gridCol w:w="83"/>
        <w:gridCol w:w="626"/>
        <w:gridCol w:w="425"/>
        <w:gridCol w:w="83"/>
        <w:gridCol w:w="83"/>
        <w:gridCol w:w="210"/>
        <w:gridCol w:w="843"/>
        <w:gridCol w:w="83"/>
        <w:gridCol w:w="83"/>
        <w:gridCol w:w="195"/>
        <w:gridCol w:w="781"/>
        <w:gridCol w:w="75"/>
      </w:tblGrid>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00" w:name="xdx_492_20260630__us-gaap--FairValueByFa"/>
            <w:bookmarkEnd w:id="700"/>
          </w:p>
        </w:tc>
        <w:tc>
          <w:tcPr>
            <w:tcW w:w="10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bookmarkStart w:id="701" w:name="xdx_49E_20260630__us-gaap--FairValueByFa"/>
            <w:bookmarkEnd w:id="701"/>
          </w:p>
        </w:tc>
        <w:tc>
          <w:tcPr>
            <w:tcW w:w="10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bookmarkStart w:id="702" w:name="xdx_49F_20260630__us-gaap--FairValueByFa"/>
            <w:bookmarkEnd w:id="702"/>
          </w:p>
        </w:tc>
        <w:tc>
          <w:tcPr>
            <w:tcW w:w="10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bookmarkStart w:id="703" w:name="xdx_499_20260630_zym12KYHwZjk"/>
            <w:bookmarkEnd w:id="703"/>
          </w:p>
        </w:tc>
        <w:tc>
          <w:tcPr>
            <w:tcW w:w="9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62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Fair Value Measurements as at June 30, 2026</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bookmarkStart w:id="704" w:name="xdx_405_eus-gaap--LiabilitiesFairValueDi"/>
            <w:bookmarkEnd w:id="704"/>
          </w:p>
        </w:tc>
      </w:tr>
      <w:tr>
        <w:trPr/>
        <w:tc>
          <w:tcPr>
            <w:tcW w:w="2555" w:type="dxa"/>
            <w:tcBorders/>
            <w:shd w:fill="CCEEFF" w:val="clear"/>
            <w:vAlign w:val="center"/>
          </w:tcPr>
          <w:p>
            <w:pPr>
              <w:pStyle w:val="TableContents"/>
              <w:bidi w:val="0"/>
              <w:spacing w:before="0" w:after="283"/>
              <w:jc w:val="both"/>
              <w:rPr/>
            </w:pPr>
            <w:r>
              <w:rPr/>
              <w:t>Liabilities</w:t>
            </w:r>
          </w:p>
        </w:tc>
        <w:tc>
          <w:tcPr>
            <w:tcW w:w="60" w:type="dxa"/>
            <w:tcBorders/>
            <w:shd w:fill="CCEEFF" w:val="clear"/>
            <w:vAlign w:val="center"/>
          </w:tcPr>
          <w:p>
            <w:pPr>
              <w:pStyle w:val="TableContents"/>
              <w:bidi w:val="0"/>
              <w:spacing w:before="0" w:after="283"/>
              <w:jc w:val="left"/>
              <w:rPr>
                <w:caps/>
              </w:rPr>
            </w:pPr>
            <w:r>
              <w:rPr>
                <w:caps/>
              </w:rPr>
              <w:t> </w:t>
            </w:r>
          </w:p>
        </w:tc>
        <w:tc>
          <w:tcPr>
            <w:tcW w:w="626" w:type="dxa"/>
            <w:tcBorders/>
            <w:shd w:fill="CCEEFF" w:val="clear"/>
            <w:vAlign w:val="center"/>
          </w:tcPr>
          <w:p>
            <w:pPr>
              <w:pStyle w:val="TableContents"/>
              <w:bidi w:val="0"/>
              <w:spacing w:before="0" w:after="283"/>
              <w:jc w:val="left"/>
              <w:rPr>
                <w:caps/>
              </w:rPr>
            </w:pPr>
            <w:r>
              <w:rPr>
                <w:caps/>
              </w:rPr>
              <w:t> </w:t>
            </w:r>
          </w:p>
        </w:tc>
        <w:tc>
          <w:tcPr>
            <w:tcW w:w="425" w:type="dxa"/>
            <w:tcBorders/>
            <w:shd w:fill="CCEEFF" w:val="clear"/>
            <w:vAlign w:val="center"/>
          </w:tcPr>
          <w:p>
            <w:pPr>
              <w:pStyle w:val="TableContents"/>
              <w:bidi w:val="0"/>
              <w:spacing w:before="0" w:after="283"/>
              <w:jc w:val="right"/>
              <w:rPr>
                <w:caps/>
              </w:rPr>
            </w:pPr>
            <w:r>
              <w:rPr>
                <w:caps/>
              </w:rPr>
              <w:t> </w:t>
            </w:r>
          </w:p>
        </w:tc>
        <w:tc>
          <w:tcPr>
            <w:tcW w:w="83" w:type="dxa"/>
            <w:tcBorders/>
            <w:shd w:fill="CCEEFF" w:val="clear"/>
            <w:vAlign w:val="center"/>
          </w:tcPr>
          <w:p>
            <w:pPr>
              <w:pStyle w:val="TableContents"/>
              <w:bidi w:val="0"/>
              <w:spacing w:before="0" w:after="283"/>
              <w:jc w:val="left"/>
              <w:rPr>
                <w:caps/>
              </w:rPr>
            </w:pPr>
            <w:r>
              <w:rPr>
                <w:caps/>
              </w:rPr>
              <w:t> </w:t>
            </w:r>
          </w:p>
        </w:tc>
        <w:tc>
          <w:tcPr>
            <w:tcW w:w="83" w:type="dxa"/>
            <w:tcBorders/>
            <w:shd w:fill="CCEEFF" w:val="clear"/>
            <w:vAlign w:val="center"/>
          </w:tcPr>
          <w:p>
            <w:pPr>
              <w:pStyle w:val="TableContents"/>
              <w:bidi w:val="0"/>
              <w:spacing w:before="0" w:after="283"/>
              <w:jc w:val="left"/>
              <w:rPr>
                <w:caps/>
              </w:rPr>
            </w:pPr>
            <w:r>
              <w:rPr>
                <w:caps/>
              </w:rPr>
              <w:t> </w:t>
            </w:r>
          </w:p>
        </w:tc>
        <w:tc>
          <w:tcPr>
            <w:tcW w:w="626" w:type="dxa"/>
            <w:tcBorders/>
            <w:shd w:fill="CCEEFF" w:val="clear"/>
            <w:vAlign w:val="center"/>
          </w:tcPr>
          <w:p>
            <w:pPr>
              <w:pStyle w:val="TableContents"/>
              <w:bidi w:val="0"/>
              <w:spacing w:before="0" w:after="283"/>
              <w:jc w:val="left"/>
              <w:rPr>
                <w:caps/>
              </w:rPr>
            </w:pPr>
            <w:r>
              <w:rPr>
                <w:caps/>
              </w:rPr>
              <w:t> </w:t>
            </w:r>
          </w:p>
        </w:tc>
        <w:tc>
          <w:tcPr>
            <w:tcW w:w="425" w:type="dxa"/>
            <w:tcBorders/>
            <w:shd w:fill="CCEEFF" w:val="clear"/>
            <w:vAlign w:val="center"/>
          </w:tcPr>
          <w:p>
            <w:pPr>
              <w:pStyle w:val="TableContents"/>
              <w:bidi w:val="0"/>
              <w:spacing w:before="0" w:after="283"/>
              <w:jc w:val="right"/>
              <w:rPr>
                <w:caps/>
              </w:rPr>
            </w:pPr>
            <w:r>
              <w:rPr>
                <w:caps/>
              </w:rPr>
              <w:t> </w:t>
            </w:r>
          </w:p>
        </w:tc>
        <w:tc>
          <w:tcPr>
            <w:tcW w:w="83" w:type="dxa"/>
            <w:tcBorders/>
            <w:shd w:fill="CCEEFF" w:val="clear"/>
            <w:vAlign w:val="center"/>
          </w:tcPr>
          <w:p>
            <w:pPr>
              <w:pStyle w:val="TableContents"/>
              <w:bidi w:val="0"/>
              <w:spacing w:before="0" w:after="283"/>
              <w:jc w:val="left"/>
              <w:rPr>
                <w:caps/>
              </w:rPr>
            </w:pPr>
            <w:r>
              <w:rPr>
                <w:caps/>
              </w:rPr>
              <w:t> </w:t>
            </w:r>
          </w:p>
        </w:tc>
        <w:tc>
          <w:tcPr>
            <w:tcW w:w="83" w:type="dxa"/>
            <w:tcBorders/>
            <w:shd w:fill="CCEEFF" w:val="clear"/>
            <w:vAlign w:val="center"/>
          </w:tcPr>
          <w:p>
            <w:pPr>
              <w:pStyle w:val="TableContents"/>
              <w:bidi w:val="0"/>
              <w:spacing w:before="0" w:after="283"/>
              <w:jc w:val="left"/>
              <w:rPr>
                <w:caps/>
              </w:rPr>
            </w:pPr>
            <w:r>
              <w:rPr>
                <w:caps/>
              </w:rPr>
              <w:t> </w:t>
            </w:r>
          </w:p>
        </w:tc>
        <w:tc>
          <w:tcPr>
            <w:tcW w:w="210" w:type="dxa"/>
            <w:tcBorders/>
            <w:shd w:fill="CCEEFF" w:val="clear"/>
            <w:vAlign w:val="center"/>
          </w:tcPr>
          <w:p>
            <w:pPr>
              <w:pStyle w:val="TableContents"/>
              <w:bidi w:val="0"/>
              <w:spacing w:before="0" w:after="283"/>
              <w:jc w:val="left"/>
              <w:rPr>
                <w:caps/>
              </w:rPr>
            </w:pPr>
            <w:r>
              <w:rPr>
                <w:caps/>
              </w:rPr>
              <w:t> </w:t>
            </w:r>
          </w:p>
        </w:tc>
        <w:tc>
          <w:tcPr>
            <w:tcW w:w="843" w:type="dxa"/>
            <w:tcBorders/>
            <w:shd w:fill="CCEEFF" w:val="clear"/>
            <w:vAlign w:val="center"/>
          </w:tcPr>
          <w:p>
            <w:pPr>
              <w:pStyle w:val="TableContents"/>
              <w:bidi w:val="0"/>
              <w:spacing w:before="0" w:after="283"/>
              <w:jc w:val="right"/>
              <w:rPr>
                <w:caps/>
              </w:rPr>
            </w:pPr>
            <w:r>
              <w:rPr>
                <w:caps/>
              </w:rPr>
              <w:t> </w:t>
            </w:r>
          </w:p>
        </w:tc>
        <w:tc>
          <w:tcPr>
            <w:tcW w:w="83" w:type="dxa"/>
            <w:tcBorders/>
            <w:shd w:fill="CCEEFF" w:val="clear"/>
            <w:vAlign w:val="center"/>
          </w:tcPr>
          <w:p>
            <w:pPr>
              <w:pStyle w:val="TableContents"/>
              <w:bidi w:val="0"/>
              <w:spacing w:before="0" w:after="283"/>
              <w:jc w:val="left"/>
              <w:rPr>
                <w:caps/>
              </w:rPr>
            </w:pPr>
            <w:r>
              <w:rPr>
                <w:caps/>
              </w:rPr>
              <w:t> </w:t>
            </w:r>
          </w:p>
        </w:tc>
        <w:tc>
          <w:tcPr>
            <w:tcW w:w="83" w:type="dxa"/>
            <w:tcBorders/>
            <w:shd w:fill="CCEEFF" w:val="clear"/>
            <w:vAlign w:val="center"/>
          </w:tcPr>
          <w:p>
            <w:pPr>
              <w:pStyle w:val="TableContents"/>
              <w:bidi w:val="0"/>
              <w:spacing w:before="0" w:after="283"/>
              <w:jc w:val="left"/>
              <w:rPr>
                <w:caps/>
              </w:rPr>
            </w:pPr>
            <w:r>
              <w:rPr>
                <w:caps/>
              </w:rPr>
              <w:t> </w:t>
            </w:r>
          </w:p>
        </w:tc>
        <w:tc>
          <w:tcPr>
            <w:tcW w:w="195" w:type="dxa"/>
            <w:tcBorders/>
            <w:shd w:fill="CCEEFF" w:val="clear"/>
            <w:vAlign w:val="center"/>
          </w:tcPr>
          <w:p>
            <w:pPr>
              <w:pStyle w:val="TableContents"/>
              <w:bidi w:val="0"/>
              <w:spacing w:before="0" w:after="283"/>
              <w:jc w:val="left"/>
              <w:rPr>
                <w:caps/>
              </w:rPr>
            </w:pPr>
            <w:r>
              <w:rPr>
                <w:caps/>
              </w:rPr>
              <w:t> </w:t>
            </w:r>
          </w:p>
        </w:tc>
        <w:tc>
          <w:tcPr>
            <w:tcW w:w="781" w:type="dxa"/>
            <w:tcBorders/>
            <w:shd w:fill="CCEEFF" w:val="clear"/>
            <w:vAlign w:val="center"/>
          </w:tcPr>
          <w:p>
            <w:pPr>
              <w:pStyle w:val="TableContents"/>
              <w:bidi w:val="0"/>
              <w:spacing w:before="0" w:after="283"/>
              <w:jc w:val="right"/>
              <w:rPr>
                <w:caps/>
              </w:rPr>
            </w:pPr>
            <w:r>
              <w:rPr>
                <w:caps/>
              </w:rPr>
              <w:t> </w:t>
            </w:r>
          </w:p>
        </w:tc>
        <w:tc>
          <w:tcPr>
            <w:tcW w:w="75" w:type="dxa"/>
            <w:tcBorders/>
            <w:shd w:fill="CCEEFF" w:val="clear"/>
            <w:vAlign w:val="center"/>
          </w:tcPr>
          <w:p>
            <w:pPr>
              <w:pStyle w:val="TableContents"/>
              <w:bidi w:val="0"/>
              <w:spacing w:before="0" w:after="283"/>
              <w:jc w:val="left"/>
              <w:rPr>
                <w:caps/>
              </w:rPr>
            </w:pPr>
            <w:r>
              <w:rPr>
                <w:caps/>
              </w:rPr>
              <w:t> </w:t>
            </w:r>
            <w:bookmarkStart w:id="705" w:name="xdx_40D_ecustom--SponsorEarnOutSharesFai"/>
            <w:bookmarkEnd w:id="705"/>
          </w:p>
        </w:tc>
      </w:tr>
      <w:tr>
        <w:trPr/>
        <w:tc>
          <w:tcPr>
            <w:tcW w:w="2555" w:type="dxa"/>
            <w:tcBorders/>
            <w:shd w:fill="FFFFFF" w:val="clear"/>
            <w:vAlign w:val="center"/>
          </w:tcPr>
          <w:p>
            <w:pPr>
              <w:pStyle w:val="TableContents"/>
              <w:bidi w:val="0"/>
              <w:spacing w:before="0" w:after="283"/>
              <w:jc w:val="both"/>
              <w:rPr/>
            </w:pPr>
            <w:r>
              <w:rPr/>
              <w:t xml:space="preserve">Sponsor earnout shares </w:t>
            </w:r>
            <w:bookmarkStart w:id="706" w:name="xdx_F43_zz8T2Rjdnsb2"/>
            <w:bookmarkEnd w:id="706"/>
            <w:r>
              <w:rPr/>
              <w:t>(b)</w:t>
            </w:r>
          </w:p>
        </w:tc>
        <w:tc>
          <w:tcPr>
            <w:tcW w:w="60" w:type="dxa"/>
            <w:tcBorders/>
            <w:shd w:fill="FFFFFF" w:val="clear"/>
            <w:vAlign w:val="center"/>
          </w:tcPr>
          <w:p>
            <w:pPr>
              <w:pStyle w:val="TableContents"/>
              <w:bidi w:val="0"/>
              <w:spacing w:before="0" w:after="283"/>
              <w:jc w:val="left"/>
              <w:rPr/>
            </w:pPr>
            <w:r>
              <w:rPr/>
              <w:t> </w:t>
            </w:r>
          </w:p>
        </w:tc>
        <w:tc>
          <w:tcPr>
            <w:tcW w:w="62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3" w:type="dxa"/>
            <w:tcBorders>
              <w:bottom w:val="double" w:sz="6" w:space="0" w:color="000000"/>
            </w:tcBorders>
            <w:shd w:fill="FFFFFF" w:val="clear"/>
            <w:tcMar>
              <w:bottom w:w="28" w:type="dxa"/>
            </w:tcMar>
            <w:vAlign w:val="center"/>
          </w:tcPr>
          <w:p>
            <w:pPr>
              <w:pStyle w:val="TableContents"/>
              <w:bidi w:val="0"/>
              <w:spacing w:before="0" w:after="283"/>
              <w:jc w:val="right"/>
              <w:rPr/>
            </w:pPr>
            <w:r>
              <w:rPr/>
              <w:t>4,700</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1" w:type="dxa"/>
            <w:tcBorders>
              <w:bottom w:val="double" w:sz="6" w:space="0" w:color="000000"/>
            </w:tcBorders>
            <w:shd w:fill="FFFFFF" w:val="clear"/>
            <w:tcMar>
              <w:bottom w:w="28" w:type="dxa"/>
            </w:tcMar>
            <w:vAlign w:val="center"/>
          </w:tcPr>
          <w:p>
            <w:pPr>
              <w:pStyle w:val="TableContents"/>
              <w:bidi w:val="0"/>
              <w:spacing w:before="0" w:after="283"/>
              <w:jc w:val="right"/>
              <w:rPr/>
            </w:pPr>
            <w:r>
              <w:rPr/>
              <w:t>4,700</w:t>
            </w:r>
          </w:p>
        </w:tc>
        <w:tc>
          <w:tcPr>
            <w:tcW w:w="75" w:type="dxa"/>
            <w:tcBorders/>
            <w:shd w:fill="FFFFFF" w:val="clear"/>
            <w:vAlign w:val="center"/>
          </w:tcPr>
          <w:p>
            <w:pPr>
              <w:pStyle w:val="TableContents"/>
              <w:bidi w:val="0"/>
              <w:spacing w:before="0" w:after="283"/>
              <w:jc w:val="left"/>
              <w:rPr/>
            </w:pPr>
            <w:r>
              <w:rPr/>
              <w:t> </w:t>
            </w:r>
            <w:bookmarkStart w:id="707" w:name="xdx_408_eus-gaap--FinancialLiabilitiesFa"/>
            <w:bookmarkEnd w:id="707"/>
          </w:p>
        </w:tc>
      </w:tr>
      <w:tr>
        <w:trPr/>
        <w:tc>
          <w:tcPr>
            <w:tcW w:w="2555" w:type="dxa"/>
            <w:tcBorders/>
            <w:shd w:fill="CCEEFF" w:val="clear"/>
            <w:vAlign w:val="center"/>
          </w:tcPr>
          <w:p>
            <w:pPr>
              <w:pStyle w:val="TableContents"/>
              <w:bidi w:val="0"/>
              <w:spacing w:before="0" w:after="283"/>
              <w:jc w:val="both"/>
              <w:rPr/>
            </w:pPr>
            <w:r>
              <w:rPr/>
              <w:t>Total financial liabilities</w:t>
            </w:r>
          </w:p>
        </w:tc>
        <w:tc>
          <w:tcPr>
            <w:tcW w:w="60" w:type="dxa"/>
            <w:tcBorders/>
            <w:shd w:fill="CCEEFF" w:val="clear"/>
            <w:vAlign w:val="center"/>
          </w:tcPr>
          <w:p>
            <w:pPr>
              <w:pStyle w:val="TableContents"/>
              <w:bidi w:val="0"/>
              <w:spacing w:before="0" w:after="283"/>
              <w:jc w:val="left"/>
              <w:rPr/>
            </w:pPr>
            <w:r>
              <w:rPr/>
              <w:t> </w:t>
            </w:r>
          </w:p>
        </w:tc>
        <w:tc>
          <w:tcPr>
            <w:tcW w:w="6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3" w:type="dxa"/>
            <w:tcBorders>
              <w:bottom w:val="double" w:sz="6" w:space="0" w:color="000000"/>
            </w:tcBorders>
            <w:shd w:fill="CCEEFF" w:val="clear"/>
            <w:tcMar>
              <w:bottom w:w="28" w:type="dxa"/>
            </w:tcMar>
            <w:vAlign w:val="center"/>
          </w:tcPr>
          <w:p>
            <w:pPr>
              <w:pStyle w:val="TableContents"/>
              <w:bidi w:val="0"/>
              <w:spacing w:before="0" w:after="283"/>
              <w:jc w:val="right"/>
              <w:rPr/>
            </w:pPr>
            <w:r>
              <w:rPr/>
              <w:t>4,700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283"/>
              <w:jc w:val="right"/>
              <w:rPr/>
            </w:pPr>
            <w:r>
              <w:rPr/>
              <w:t>4,700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08" w:name="xdx_F0A_zafzmYCPBjfh"/>
            <w:bookmarkEnd w:id="708"/>
            <w:r>
              <w:rPr>
                <w:rFonts w:ascii="Times New Roman;Times;Serif" w:hAnsi="Times New Roman;Times;Serif"/>
                <w:b w:val="false"/>
                <w:i w:val="false"/>
                <w:caps w:val="false"/>
                <w:smallCaps w:val="false"/>
                <w:sz w:val="20"/>
              </w:rPr>
              <w:t>(a)</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09" w:name="xdx_F1B_zQEpNhmO8RHc"/>
            <w:bookmarkEnd w:id="709"/>
            <w:r>
              <w:rPr>
                <w:rFonts w:ascii="Times New Roman;Times;Serif" w:hAnsi="Times New Roman;Times;Serif"/>
                <w:b w:val="false"/>
                <w:i w:val="false"/>
                <w:caps w:val="false"/>
                <w:smallCaps w:val="false"/>
                <w:sz w:val="20"/>
              </w:rPr>
              <w:t>These represent equity investments with a readily determinable fair value. The Company has measured its investments to fair value in accordance with ASC 321, “</w:t>
            </w:r>
            <w:r>
              <w:rPr>
                <w:rFonts w:ascii="Times New Roman;Times;Serif" w:hAnsi="Times New Roman;Times;Serif"/>
                <w:b w:val="false"/>
                <w:i/>
                <w:caps w:val="false"/>
                <w:smallCaps w:val="false"/>
                <w:sz w:val="20"/>
              </w:rPr>
              <w:t xml:space="preserve">Investments-Equity Securities,” </w:t>
            </w:r>
            <w:r>
              <w:rPr>
                <w:rFonts w:ascii="Times New Roman;Times;Serif" w:hAnsi="Times New Roman;Times;Serif"/>
                <w:b w:val="false"/>
                <w:i w:val="false"/>
                <w:caps w:val="false"/>
                <w:smallCaps w:val="false"/>
                <w:sz w:val="20"/>
              </w:rPr>
              <w:t>based on quoted prices in active markets.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10" w:name="xdx_F01_zG2IAvycuzE9"/>
            <w:bookmarkEnd w:id="710"/>
            <w:r>
              <w:rPr>
                <w:rFonts w:ascii="Times New Roman;Times;Serif" w:hAnsi="Times New Roman;Times;Serif"/>
                <w:b w:val="false"/>
                <w:i w:val="false"/>
                <w:caps w:val="false"/>
                <w:smallCaps w:val="false"/>
                <w:sz w:val="20"/>
              </w:rPr>
              <w:t>(b)</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bookmarkStart w:id="711" w:name="xdx_F10_zpatHbdF6Tka"/>
            <w:bookmarkEnd w:id="711"/>
            <w:r>
              <w:rPr>
                <w:rFonts w:ascii="Times New Roman;Times;Serif" w:hAnsi="Times New Roman;Times;Serif"/>
                <w:b w:val="false"/>
                <w:i w:val="false"/>
                <w:caps w:val="false"/>
                <w:smallCaps w:val="false"/>
                <w:sz w:val="20"/>
              </w:rPr>
              <w:t>For Level 3 earnout liability, the Company assesses the fair value of expected earnout liability at each reporting period using the Monte Carlo Method, which is consistent with the initial measurement of the expected earnout consideration. This fair value measurement is considered a Level 3 measurement because the Company estimates projections during the earnout period utilizing various potential pay-out scenarios. The Monte Carlo simulation method repeats a process thousands of times in an attempt to predict all the possible future outcomes. At the end of the simulation, several random trials produce a distribution of outcomes that are then analyzed to determine the average present value of the earnout. Change in the fair value of earnout liability is reflected in the unaudited condensed consolidated statements of operations.</w:t>
            </w:r>
            <w:bookmarkStart w:id="712" w:name="xdx_8A6_zf7aerqJXs1g"/>
            <w:bookmarkEnd w:id="712"/>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make-whole obligation liability related to the Prior B. Riley Purchase Agreement is measured at fair value categorized within Level 1 of the fair value hierarchy. See Note 4.</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713" w:name="xdx_803_eus-gaap--SegmentReportingDisclo"/>
      <w:bookmarkEnd w:id="713"/>
      <w:r>
        <w:rPr>
          <w:rFonts w:ascii="Times New Roman;Times;Serif" w:hAnsi="Times New Roman;Times;Serif"/>
          <w:b/>
          <w:i w:val="false"/>
          <w:caps/>
          <w:sz w:val="20"/>
        </w:rPr>
        <w:t xml:space="preserve">NOTE 10 – </w:t>
      </w:r>
      <w:bookmarkStart w:id="714" w:name="xdx_827_zcJeej7WM391"/>
      <w:bookmarkEnd w:id="714"/>
      <w:r>
        <w:rPr>
          <w:rFonts w:ascii="Times New Roman;Times;Serif" w:hAnsi="Times New Roman;Times;Serif"/>
          <w:b/>
          <w:i w:val="false"/>
          <w:caps/>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reports segment information in the same way management internally organizes the business in assessing performance and making decisions regarding allocation of resources in accordance with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The Company has a single reportable operating segment which operates as a single business platform. In reaching this conclusion, management considered the definition of the Chief Operating Decision Maker (“</w:t>
      </w:r>
      <w:r>
        <w:rPr>
          <w:rFonts w:ascii="Times New Roman;Times;Serif" w:hAnsi="Times New Roman;Times;Serif"/>
          <w:b/>
          <w:i w:val="false"/>
          <w:caps w:val="false"/>
          <w:smallCaps w:val="false"/>
          <w:sz w:val="20"/>
        </w:rPr>
        <w:t>CODM</w:t>
      </w:r>
      <w:r>
        <w:rPr>
          <w:rFonts w:ascii="Times New Roman;Times;Serif" w:hAnsi="Times New Roman;Times;Serif"/>
          <w:b w:val="false"/>
          <w:i w:val="false"/>
          <w:caps w:val="false"/>
          <w:smallCaps w:val="false"/>
          <w:sz w:val="20"/>
        </w:rPr>
        <w:t>”), how the business is defined by the CODM, the nature of the information provided to the CODM, how the CODM uses such information to make operating decisions, and how resources and performance are assessed. The Company’s CODM is its Chief Executive Officer, who reviews financial information presented on a consolidated basis for purposes of allocating resources and evaluating financial performance. The Company has a single, common management team and the Company’s cash flows are reported and reviewed with no distinct cash flows. The measure of segment assets is reported on the unaudited condensed consolidated balance sheets as total consolidated assets. All of the Company’s long-lived assets are located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5" w:name="xdx_897_eus-gaap--ReconciliationOfOtherS"/>
      <w:bookmarkEnd w:id="715"/>
      <w:r>
        <w:rPr>
          <w:rFonts w:ascii="Times New Roman;Times;Serif" w:hAnsi="Times New Roman;Times;Serif"/>
          <w:b w:val="false"/>
          <w:i w:val="false"/>
          <w:caps w:val="false"/>
          <w:smallCaps w:val="false"/>
          <w:sz w:val="20"/>
        </w:rPr>
        <w:t>In addition to the significant expense categories included within net loss presented on the Company’s unaudited condensed consolidated statements of operations, see below for disaggregated amounts that comprise general and administrative expenses.</w:t>
      </w:r>
    </w:p>
    <w:p>
      <w:pPr>
        <w:pStyle w:val="TextBody"/>
        <w:bidi w:val="0"/>
        <w:spacing w:before="0" w:after="0"/>
        <w:ind w:left="0" w:right="0" w:hanging="0"/>
        <w:jc w:val="both"/>
        <w:rPr>
          <w:caps w:val="false"/>
          <w:smallCaps w:val="false"/>
        </w:rPr>
      </w:pPr>
      <w:r>
        <w:rPr>
          <w:caps w:val="false"/>
          <w:smallCaps w:val="false"/>
        </w:rPr>
        <w:t> </w:t>
      </w:r>
      <w:bookmarkStart w:id="716" w:name="xdx_8BA_z3UQsn5Ybosj"/>
      <w:bookmarkEnd w:id="716"/>
      <w:r>
        <w:rPr>
          <w:rFonts w:ascii="Times New Roman;Times;Serif" w:hAnsi="Times New Roman;Times;Serif"/>
          <w:b w:val="false"/>
          <w:i w:val="false"/>
          <w:caps w:val="false"/>
          <w:smallCaps w:val="false"/>
          <w:sz w:val="20"/>
        </w:rPr>
        <w:t>SCHEDULE OF SEGMENT REPORTING CONSOLIDATED STATEMENTS OF OPERATIONS</w:t>
      </w:r>
    </w:p>
    <w:tbl>
      <w:tblPr>
        <w:tblW w:w="9251" w:type="dxa"/>
        <w:jc w:val="left"/>
        <w:tblInd w:w="0" w:type="dxa"/>
        <w:tblLayout w:type="fixed"/>
        <w:tblCellMar>
          <w:top w:w="0" w:type="dxa"/>
          <w:left w:w="0" w:type="dxa"/>
          <w:bottom w:w="0" w:type="dxa"/>
          <w:right w:w="0" w:type="dxa"/>
        </w:tblCellMar>
      </w:tblPr>
      <w:tblGrid>
        <w:gridCol w:w="3065"/>
        <w:gridCol w:w="60"/>
        <w:gridCol w:w="81"/>
        <w:gridCol w:w="1333"/>
        <w:gridCol w:w="60"/>
        <w:gridCol w:w="60"/>
        <w:gridCol w:w="81"/>
        <w:gridCol w:w="1333"/>
        <w:gridCol w:w="95"/>
        <w:gridCol w:w="60"/>
        <w:gridCol w:w="81"/>
        <w:gridCol w:w="1333"/>
        <w:gridCol w:w="60"/>
        <w:gridCol w:w="60"/>
        <w:gridCol w:w="81"/>
        <w:gridCol w:w="1333"/>
        <w:gridCol w:w="75"/>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7" w:name="xdx_49C_20260401__20260630_zh3kf2hdNvPj"/>
            <w:bookmarkEnd w:id="717"/>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8" w:name="xdx_491_20250401__20250630_zsWunIcUW7Wj"/>
            <w:bookmarkEnd w:id="718"/>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9" w:name="xdx_495_20260101__20260630_zpTbrhjB25Ra"/>
            <w:bookmarkEnd w:id="719"/>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20" w:name="xdx_49A_20250101__20250630_zSSnB1E1yN3h"/>
            <w:bookmarkEnd w:id="720"/>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t>June 30, 2025</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75" w:type="dxa"/>
            <w:tcBorders/>
            <w:vAlign w:val="center"/>
          </w:tcPr>
          <w:p>
            <w:pPr>
              <w:pStyle w:val="TableContents"/>
              <w:bidi w:val="0"/>
              <w:spacing w:before="0" w:after="283"/>
              <w:jc w:val="left"/>
              <w:rPr/>
            </w:pPr>
            <w:r>
              <w:rPr/>
              <w:t> </w:t>
            </w:r>
            <w:bookmarkStart w:id="721" w:name="xdx_40B_ecustom--PayrollAndRelatedTaxes_"/>
            <w:bookmarkEnd w:id="721"/>
          </w:p>
        </w:tc>
      </w:tr>
      <w:tr>
        <w:trPr/>
        <w:tc>
          <w:tcPr>
            <w:tcW w:w="3065" w:type="dxa"/>
            <w:tcBorders/>
            <w:shd w:fill="CCEEFF" w:val="clear"/>
            <w:vAlign w:val="center"/>
          </w:tcPr>
          <w:p>
            <w:pPr>
              <w:pStyle w:val="TableContents"/>
              <w:bidi w:val="0"/>
              <w:spacing w:before="0" w:after="283"/>
              <w:jc w:val="both"/>
              <w:rPr/>
            </w:pPr>
            <w:r>
              <w:rPr/>
              <w:t>Payroll and related taxes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2,698,065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3,207,013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5,466,803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6,763,660</w:t>
            </w:r>
          </w:p>
        </w:tc>
        <w:tc>
          <w:tcPr>
            <w:tcW w:w="75" w:type="dxa"/>
            <w:tcBorders/>
            <w:shd w:fill="CCEEFF" w:val="clear"/>
            <w:vAlign w:val="center"/>
          </w:tcPr>
          <w:p>
            <w:pPr>
              <w:pStyle w:val="TableContents"/>
              <w:bidi w:val="0"/>
              <w:spacing w:before="0" w:after="283"/>
              <w:jc w:val="left"/>
              <w:rPr/>
            </w:pPr>
            <w:r>
              <w:rPr/>
              <w:t> </w:t>
            </w:r>
            <w:bookmarkStart w:id="722" w:name="xdx_404_ecustom--ProfessionalAndConsulti"/>
            <w:bookmarkEnd w:id="722"/>
          </w:p>
        </w:tc>
      </w:tr>
      <w:tr>
        <w:trPr/>
        <w:tc>
          <w:tcPr>
            <w:tcW w:w="3065" w:type="dxa"/>
            <w:tcBorders/>
            <w:shd w:fill="FFFFFF" w:val="clear"/>
            <w:vAlign w:val="center"/>
          </w:tcPr>
          <w:p>
            <w:pPr>
              <w:pStyle w:val="TableContents"/>
              <w:bidi w:val="0"/>
              <w:spacing w:before="0" w:after="283"/>
              <w:jc w:val="both"/>
              <w:rPr/>
            </w:pPr>
            <w:r>
              <w:rPr/>
              <w:t>Professional and consulting fees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428,324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(885,117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899,947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337,557</w:t>
            </w:r>
          </w:p>
        </w:tc>
        <w:tc>
          <w:tcPr>
            <w:tcW w:w="75" w:type="dxa"/>
            <w:tcBorders/>
            <w:shd w:fill="FFFFFF" w:val="clear"/>
            <w:vAlign w:val="center"/>
          </w:tcPr>
          <w:p>
            <w:pPr>
              <w:pStyle w:val="TableContents"/>
              <w:bidi w:val="0"/>
              <w:spacing w:before="0" w:after="283"/>
              <w:jc w:val="left"/>
              <w:rPr/>
            </w:pPr>
            <w:r>
              <w:rPr/>
              <w:t> </w:t>
            </w:r>
            <w:bookmarkStart w:id="723" w:name="xdx_408_eus-gaap--LegalFees_maGAAEzM6N_z"/>
            <w:bookmarkEnd w:id="723"/>
          </w:p>
        </w:tc>
      </w:tr>
      <w:tr>
        <w:trPr/>
        <w:tc>
          <w:tcPr>
            <w:tcW w:w="3065" w:type="dxa"/>
            <w:tcBorders/>
            <w:shd w:fill="CCEEFF" w:val="clear"/>
            <w:vAlign w:val="center"/>
          </w:tcPr>
          <w:p>
            <w:pPr>
              <w:pStyle w:val="TableContents"/>
              <w:bidi w:val="0"/>
              <w:spacing w:before="0" w:after="283"/>
              <w:jc w:val="both"/>
              <w:rPr/>
            </w:pPr>
            <w:r>
              <w:rPr/>
              <w:t>Legal fees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235,069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266,727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423,870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479,662</w:t>
            </w:r>
          </w:p>
        </w:tc>
        <w:tc>
          <w:tcPr>
            <w:tcW w:w="75" w:type="dxa"/>
            <w:tcBorders/>
            <w:shd w:fill="CCEEFF" w:val="clear"/>
            <w:vAlign w:val="center"/>
          </w:tcPr>
          <w:p>
            <w:pPr>
              <w:pStyle w:val="TableContents"/>
              <w:bidi w:val="0"/>
              <w:spacing w:before="0" w:after="283"/>
              <w:jc w:val="left"/>
              <w:rPr/>
            </w:pPr>
            <w:r>
              <w:rPr/>
              <w:t> </w:t>
            </w:r>
            <w:bookmarkStart w:id="724" w:name="xdx_409_eus-gaap--InsuranceTax_maGAAEzM6"/>
            <w:bookmarkEnd w:id="724"/>
          </w:p>
        </w:tc>
      </w:tr>
      <w:tr>
        <w:trPr/>
        <w:tc>
          <w:tcPr>
            <w:tcW w:w="3065" w:type="dxa"/>
            <w:tcBorders/>
            <w:shd w:fill="FFFFFF" w:val="clear"/>
            <w:vAlign w:val="center"/>
          </w:tcPr>
          <w:p>
            <w:pPr>
              <w:pStyle w:val="TableContents"/>
              <w:bidi w:val="0"/>
              <w:spacing w:before="0" w:after="283"/>
              <w:jc w:val="both"/>
              <w:rPr/>
            </w:pPr>
            <w:r>
              <w:rPr/>
              <w:t>Insurance</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124,927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146,418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246,196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291,456</w:t>
            </w:r>
          </w:p>
        </w:tc>
        <w:tc>
          <w:tcPr>
            <w:tcW w:w="75" w:type="dxa"/>
            <w:tcBorders/>
            <w:shd w:fill="FFFFFF" w:val="clear"/>
            <w:vAlign w:val="center"/>
          </w:tcPr>
          <w:p>
            <w:pPr>
              <w:pStyle w:val="TableContents"/>
              <w:bidi w:val="0"/>
              <w:spacing w:before="0" w:after="283"/>
              <w:jc w:val="left"/>
              <w:rPr/>
            </w:pPr>
            <w:r>
              <w:rPr/>
              <w:t> </w:t>
            </w:r>
            <w:bookmarkStart w:id="725" w:name="xdx_405_eus-gaap--OtherGeneralAndAdminis"/>
            <w:bookmarkEnd w:id="725"/>
          </w:p>
        </w:tc>
      </w:tr>
      <w:tr>
        <w:trPr/>
        <w:tc>
          <w:tcPr>
            <w:tcW w:w="3065"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CCEEFF" w:val="clear"/>
            <w:tcMar>
              <w:bottom w:w="28" w:type="dxa"/>
            </w:tcMar>
            <w:vAlign w:val="center"/>
          </w:tcPr>
          <w:p>
            <w:pPr>
              <w:pStyle w:val="TableContents"/>
              <w:bidi w:val="0"/>
              <w:spacing w:before="0" w:after="283"/>
              <w:jc w:val="right"/>
              <w:rPr/>
            </w:pPr>
            <w:r>
              <w:rPr/>
              <w:t>408,298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CCEEFF" w:val="clear"/>
            <w:tcMar>
              <w:bottom w:w="28" w:type="dxa"/>
            </w:tcMar>
            <w:vAlign w:val="center"/>
          </w:tcPr>
          <w:p>
            <w:pPr>
              <w:pStyle w:val="TableContents"/>
              <w:bidi w:val="0"/>
              <w:spacing w:before="0" w:after="283"/>
              <w:jc w:val="right"/>
              <w:rPr/>
            </w:pPr>
            <w:r>
              <w:rPr/>
              <w:t>301,306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CCEEFF" w:val="clear"/>
            <w:tcMar>
              <w:bottom w:w="28" w:type="dxa"/>
            </w:tcMar>
            <w:vAlign w:val="center"/>
          </w:tcPr>
          <w:p>
            <w:pPr>
              <w:pStyle w:val="TableContents"/>
              <w:bidi w:val="0"/>
              <w:spacing w:before="0" w:after="283"/>
              <w:jc w:val="right"/>
              <w:rPr/>
            </w:pPr>
            <w:r>
              <w:rPr/>
              <w:t>842,768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CCEEFF" w:val="clear"/>
            <w:tcMar>
              <w:bottom w:w="28" w:type="dxa"/>
            </w:tcMar>
            <w:vAlign w:val="center"/>
          </w:tcPr>
          <w:p>
            <w:pPr>
              <w:pStyle w:val="TableContents"/>
              <w:bidi w:val="0"/>
              <w:spacing w:before="0" w:after="283"/>
              <w:jc w:val="right"/>
              <w:rPr/>
            </w:pPr>
            <w:r>
              <w:rPr/>
              <w:t>912,659</w:t>
            </w:r>
          </w:p>
        </w:tc>
        <w:tc>
          <w:tcPr>
            <w:tcW w:w="75" w:type="dxa"/>
            <w:tcBorders/>
            <w:shd w:fill="CCEEFF" w:val="clear"/>
            <w:vAlign w:val="center"/>
          </w:tcPr>
          <w:p>
            <w:pPr>
              <w:pStyle w:val="TableContents"/>
              <w:bidi w:val="0"/>
              <w:spacing w:before="0" w:after="283"/>
              <w:jc w:val="left"/>
              <w:rPr/>
            </w:pPr>
            <w:r>
              <w:rPr/>
              <w:t> </w:t>
            </w:r>
            <w:bookmarkStart w:id="726" w:name="xdx_401_eus-gaap--GeneralAndAdministrati"/>
            <w:bookmarkEnd w:id="726"/>
          </w:p>
        </w:tc>
      </w:tr>
      <w:tr>
        <w:trPr/>
        <w:tc>
          <w:tcPr>
            <w:tcW w:w="306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3,894,683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3,036,347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7,879,584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8,784,994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27" w:name="xdx_8AA_znTGxWO1URx5"/>
      <w:bookmarkEnd w:id="727"/>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728" w:name="xdx_802_eus-gaap--RelatedPartyTransactio"/>
      <w:bookmarkEnd w:id="728"/>
      <w:r>
        <w:rPr>
          <w:rFonts w:ascii="Times New Roman;Times;Serif" w:hAnsi="Times New Roman;Times;Serif"/>
          <w:b/>
          <w:i w:val="false"/>
          <w:caps/>
          <w:sz w:val="20"/>
        </w:rPr>
        <w:t xml:space="preserve">NOTE 11 – </w:t>
      </w:r>
      <w:bookmarkStart w:id="729" w:name="xdx_821_zpH8wJ01uyy7"/>
      <w:bookmarkEnd w:id="729"/>
      <w:r>
        <w:rPr>
          <w:rFonts w:ascii="Times New Roman;Times;Serif" w:hAnsi="Times New Roman;Times;Serif"/>
          <w:b/>
          <w:i w:val="false"/>
          <w:caps/>
          <w:sz w:val="20"/>
        </w:rPr>
        <w:t>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entered into a consulting agreement and loan arrangement with DRE Chicago LLC (“</w:t>
      </w:r>
      <w:r>
        <w:rPr>
          <w:rFonts w:ascii="Times New Roman;Times;Serif" w:hAnsi="Times New Roman;Times;Serif"/>
          <w:b/>
          <w:i w:val="false"/>
          <w:caps w:val="false"/>
          <w:smallCaps w:val="false"/>
          <w:sz w:val="20"/>
        </w:rPr>
        <w:t>DRE Chicago</w:t>
      </w:r>
      <w:r>
        <w:rPr>
          <w:rFonts w:ascii="Times New Roman;Times;Serif" w:hAnsi="Times New Roman;Times;Serif"/>
          <w:b w:val="false"/>
          <w:i w:val="false"/>
          <w:caps w:val="false"/>
          <w:smallCaps w:val="false"/>
          <w:sz w:val="20"/>
        </w:rPr>
        <w:t>”), whose principal, Paramita Das, was the Company’s former Chief Strategy Officer and Senior Advisor to the Chief Executive Officer as described in the Company’s Form 10-K. The Company recognized interest expense of $</w:t>
      </w:r>
      <w:bookmarkStart w:id="730" w:name="xdx_904_eus-gaap--InterestExpense_c20250"/>
      <w:bookmarkEnd w:id="730"/>
      <w:r>
        <w:rPr>
          <w:rFonts w:ascii="Times New Roman;Times;Serif" w:hAnsi="Times New Roman;Times;Serif"/>
          <w:b w:val="false"/>
          <w:i w:val="false"/>
          <w:caps w:val="false"/>
          <w:smallCaps w:val="false"/>
          <w:sz w:val="20"/>
        </w:rPr>
        <w:t xml:space="preserve">7,187 during the six months ended June 30, 2025. The loan was fully repaid, together with accrued interest, as of December 31, 2025, and </w:t>
      </w:r>
      <w:bookmarkStart w:id="731" w:name="xdx_90A_eus-gaap--ClassOfWarrantOrRightO"/>
      <w:bookmarkEnd w:id="731"/>
      <w:r>
        <w:rPr>
          <w:rFonts w:ascii="Times New Roman;Times;Serif" w:hAnsi="Times New Roman;Times;Serif"/>
          <w:b w:val="false"/>
          <w:i w:val="false"/>
          <w:caps w:val="false"/>
          <w:smallCaps w:val="false"/>
          <w:sz w:val="20"/>
        </w:rPr>
        <w:t>52,374 warrants, remain outstanding. DRE Chicago’s loan was entered into as part of a larger $</w:t>
      </w:r>
      <w:bookmarkStart w:id="732" w:name="xdx_90C_eus-gaap--DebtInstrumentFaceAmou"/>
      <w:bookmarkEnd w:id="732"/>
      <w:r>
        <w:rPr>
          <w:rFonts w:ascii="Times New Roman;Times;Serif" w:hAnsi="Times New Roman;Times;Serif"/>
          <w:b w:val="false"/>
          <w:i w:val="false"/>
          <w:caps w:val="false"/>
          <w:smallCaps w:val="false"/>
          <w:sz w:val="20"/>
        </w:rPr>
        <w:t>1,800,000 Term Sheets facility with several lenders, which was fully repaid, together with accrued interest, as of December 31, 2025. Ms. Das terminated her employment with the Company in November 2025 and is no longer considered a related party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entered into a loan arrangement with Endurance Antarctica Partners II, LLC (“</w:t>
      </w:r>
      <w:r>
        <w:rPr>
          <w:rFonts w:ascii="Times New Roman;Times;Serif" w:hAnsi="Times New Roman;Times;Serif"/>
          <w:b/>
          <w:i w:val="false"/>
          <w:caps w:val="false"/>
          <w:smallCaps w:val="false"/>
          <w:sz w:val="20"/>
        </w:rPr>
        <w:t>Endurance</w:t>
      </w:r>
      <w:r>
        <w:rPr>
          <w:rFonts w:ascii="Times New Roman;Times;Serif" w:hAnsi="Times New Roman;Times;Serif"/>
          <w:b w:val="false"/>
          <w:i w:val="false"/>
          <w:caps w:val="false"/>
          <w:smallCaps w:val="false"/>
          <w:sz w:val="20"/>
        </w:rPr>
        <w:t>”), an affiliate of a director at the time and a shareholder, as described in the Company’s Form 10-K. The Company recognized interest expense of $</w:t>
      </w:r>
      <w:bookmarkStart w:id="733" w:name="xdx_907_eus-gaap--InterestExpense_c20250"/>
      <w:bookmarkEnd w:id="733"/>
      <w:r>
        <w:rPr>
          <w:rFonts w:ascii="Times New Roman;Times;Serif" w:hAnsi="Times New Roman;Times;Serif"/>
          <w:b w:val="false"/>
          <w:i w:val="false"/>
          <w:caps w:val="false"/>
          <w:smallCaps w:val="false"/>
          <w:sz w:val="20"/>
        </w:rPr>
        <w:t xml:space="preserve">51,042 during the six months ended June 30, 2025. The loan was fully repaid, together with accrued interest, as of December 31, 2025, and </w:t>
      </w:r>
      <w:bookmarkStart w:id="734" w:name="xdx_90F_eus-gaap--ClassOfWarrantOrRightO"/>
      <w:bookmarkEnd w:id="734"/>
      <w:r>
        <w:rPr>
          <w:rFonts w:ascii="Times New Roman;Times;Serif" w:hAnsi="Times New Roman;Times;Serif"/>
          <w:b w:val="false"/>
          <w:i w:val="false"/>
          <w:caps w:val="false"/>
          <w:smallCaps w:val="false"/>
          <w:sz w:val="20"/>
        </w:rPr>
        <w:t>488,826 warrants, remain outstanding. As of the date of this quarterly report, the Endurance-affiliated individual is no longer a member of our board of directors.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Company entered into unsecured notes payable with three related parties. These notes payable provided the Company the ability to draw up to $</w:t>
      </w:r>
      <w:bookmarkStart w:id="735" w:name="xdx_90F_eus-gaap--UnsecuredDebt_iI_c2023"/>
      <w:bookmarkEnd w:id="735"/>
      <w:r>
        <w:rPr>
          <w:rFonts w:ascii="Times New Roman;Times;Serif" w:hAnsi="Times New Roman;Times;Serif"/>
          <w:b w:val="false"/>
          <w:i w:val="false"/>
          <w:caps w:val="false"/>
          <w:smallCaps w:val="false"/>
          <w:sz w:val="20"/>
        </w:rPr>
        <w:t>1,000,000, in aggregate. In June 2025, the Company drew $</w:t>
      </w:r>
      <w:bookmarkStart w:id="736" w:name="xdx_90D_eus-gaap--UnsecuredDebt_iI_c2025"/>
      <w:bookmarkEnd w:id="736"/>
      <w:r>
        <w:rPr>
          <w:rFonts w:ascii="Times New Roman;Times;Serif" w:hAnsi="Times New Roman;Times;Serif"/>
          <w:b w:val="false"/>
          <w:i w:val="false"/>
          <w:caps w:val="false"/>
          <w:smallCaps w:val="false"/>
          <w:sz w:val="20"/>
        </w:rPr>
        <w:t>250,000 from Energy Transition Investors LLC, and subsequently repaid the drawn amount by quarter end. The Company had accrued interest of $</w:t>
      </w:r>
      <w:bookmarkStart w:id="737" w:name="xdx_901_eus-gaap--InterestExpense_c20250"/>
      <w:bookmarkEnd w:id="737"/>
      <w:r>
        <w:rPr>
          <w:rFonts w:ascii="Times New Roman;Times;Serif" w:hAnsi="Times New Roman;Times;Serif"/>
          <w:b w:val="false"/>
          <w:i w:val="false"/>
          <w:caps w:val="false"/>
          <w:smallCaps w:val="false"/>
          <w:sz w:val="20"/>
        </w:rPr>
        <w:t>422 during the six months ended June 30, 2025 on the drawn amount and subsequently paid the interest in January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738" w:name="xdx_808_eus-gaap--AccountsPayableAccrued"/>
      <w:bookmarkEnd w:id="738"/>
      <w:r>
        <w:rPr>
          <w:rFonts w:ascii="Times New Roman;Times;Serif" w:hAnsi="Times New Roman;Times;Serif"/>
          <w:b/>
          <w:i w:val="false"/>
          <w:caps/>
          <w:sz w:val="20"/>
        </w:rPr>
        <w:t xml:space="preserve">NOTE 12 - </w:t>
      </w:r>
      <w:bookmarkStart w:id="739" w:name="xdx_826_zLfa6TxDqukk"/>
      <w:bookmarkEnd w:id="739"/>
      <w:r>
        <w:rPr>
          <w:rFonts w:ascii="Times New Roman;Times;Serif" w:hAnsi="Times New Roman;Times;Serif"/>
          <w:b/>
          <w:i w:val="false"/>
          <w:caps/>
          <w:sz w:val="20"/>
        </w:rPr>
        <w:t>ACCRUED LIABILITIES AND OTHER CURRENT LIABILITIES:</w:t>
      </w:r>
    </w:p>
    <w:p>
      <w:pPr>
        <w:pStyle w:val="TextBody"/>
        <w:bidi w:val="0"/>
        <w:spacing w:before="0" w:after="0"/>
        <w:ind w:left="0" w:right="0" w:hanging="0"/>
        <w:jc w:val="both"/>
        <w:rPr>
          <w:caps w:val="false"/>
          <w:smallCaps w:val="false"/>
        </w:rPr>
      </w:pPr>
      <w:bookmarkStart w:id="740" w:name="xdx_892_eus-gaap--ScheduleOfAccountsPaya"/>
      <w:bookmarkEnd w:id="740"/>
      <w:r>
        <w:rPr>
          <w:caps w:val="false"/>
          <w:smallCaps w:val="false"/>
        </w:rPr>
        <w:t> </w:t>
      </w:r>
      <w:bookmarkStart w:id="741" w:name="xdx_8BE_ztgmj4SSEPs5"/>
      <w:bookmarkEnd w:id="741"/>
      <w:r>
        <w:rPr>
          <w:rFonts w:ascii="Times New Roman;Times;Serif" w:hAnsi="Times New Roman;Times;Serif"/>
          <w:b w:val="false"/>
          <w:i w:val="false"/>
          <w:caps w:val="false"/>
          <w:smallCaps w:val="false"/>
          <w:sz w:val="20"/>
        </w:rPr>
        <w:t>SCHEDULE OF ACCRUED LIABILITIES AND OTHER CURRENT LIABILITIES</w:t>
      </w:r>
    </w:p>
    <w:tbl>
      <w:tblPr>
        <w:tblW w:w="6343" w:type="dxa"/>
        <w:jc w:val="left"/>
        <w:tblInd w:w="0" w:type="dxa"/>
        <w:tblLayout w:type="fixed"/>
        <w:tblCellMar>
          <w:top w:w="0" w:type="dxa"/>
          <w:left w:w="0" w:type="dxa"/>
          <w:bottom w:w="0" w:type="dxa"/>
          <w:right w:w="0" w:type="dxa"/>
        </w:tblCellMar>
      </w:tblPr>
      <w:tblGrid>
        <w:gridCol w:w="2720"/>
        <w:gridCol w:w="60"/>
        <w:gridCol w:w="176"/>
        <w:gridCol w:w="1238"/>
        <w:gridCol w:w="60"/>
        <w:gridCol w:w="60"/>
        <w:gridCol w:w="244"/>
        <w:gridCol w:w="1710"/>
        <w:gridCol w:w="75"/>
      </w:tblGrid>
      <w:tr>
        <w:trPr/>
        <w:tc>
          <w:tcPr>
            <w:tcW w:w="27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42" w:name="xdx_49C_20260630_zewaTqVEBLAl"/>
            <w:bookmarkEnd w:id="742"/>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3" w:name="xdx_493_20251231_zUGDQSOTHG85"/>
            <w:bookmarkEnd w:id="743"/>
          </w:p>
        </w:tc>
        <w:tc>
          <w:tcPr>
            <w:tcW w:w="1954" w:type="dxa"/>
            <w:gridSpan w:val="2"/>
            <w:tcBorders>
              <w:bottom w:val="single" w:sz="8" w:space="0" w:color="000000"/>
            </w:tcBorders>
            <w:tcMar>
              <w:bottom w:w="28" w:type="dxa"/>
            </w:tcMar>
            <w:vAlign w:val="center"/>
          </w:tcPr>
          <w:p>
            <w:pPr>
              <w:pStyle w:val="TableContents"/>
              <w:bidi w:val="0"/>
              <w:jc w:val="center"/>
              <w:rPr>
                <w:b/>
              </w:rPr>
            </w:pPr>
            <w:r>
              <w:rPr>
                <w:b/>
              </w:rPr>
              <w:t>December 31, 2025</w:t>
            </w:r>
          </w:p>
          <w:p>
            <w:pPr>
              <w:pStyle w:val="TableContents"/>
              <w:bidi w:val="0"/>
              <w:spacing w:before="0" w:after="283"/>
              <w:jc w:val="center"/>
              <w:rPr>
                <w:b/>
              </w:rPr>
            </w:pPr>
            <w:r>
              <w:rPr>
                <w:b/>
              </w:rPr>
              <w:t>(audited)</w:t>
            </w:r>
          </w:p>
        </w:tc>
        <w:tc>
          <w:tcPr>
            <w:tcW w:w="75" w:type="dxa"/>
            <w:tcBorders/>
            <w:vAlign w:val="center"/>
          </w:tcPr>
          <w:p>
            <w:pPr>
              <w:pStyle w:val="TableContents"/>
              <w:bidi w:val="0"/>
              <w:spacing w:before="0" w:after="283"/>
              <w:jc w:val="left"/>
              <w:rPr/>
            </w:pPr>
            <w:r>
              <w:rPr/>
              <w:t> </w:t>
            </w:r>
            <w:bookmarkStart w:id="744" w:name="xdx_404_eus-gaap--AccruedLiabilitiesCurr"/>
            <w:bookmarkEnd w:id="744"/>
          </w:p>
        </w:tc>
      </w:tr>
      <w:tr>
        <w:trPr/>
        <w:tc>
          <w:tcPr>
            <w:tcW w:w="2720"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caps/>
              </w:rPr>
            </w:pPr>
            <w:r>
              <w:rPr>
                <w:caps/>
              </w:rPr>
              <w:t> </w:t>
            </w:r>
          </w:p>
        </w:tc>
        <w:tc>
          <w:tcPr>
            <w:tcW w:w="176" w:type="dxa"/>
            <w:tcBorders/>
            <w:shd w:fill="CCEEFF" w:val="clear"/>
            <w:vAlign w:val="center"/>
          </w:tcPr>
          <w:p>
            <w:pPr>
              <w:pStyle w:val="TableContents"/>
              <w:bidi w:val="0"/>
              <w:spacing w:before="0" w:after="283"/>
              <w:jc w:val="left"/>
              <w:rPr>
                <w:caps/>
              </w:rPr>
            </w:pPr>
            <w:r>
              <w:rPr>
                <w:caps/>
              </w:rPr>
              <w:t>$</w:t>
            </w:r>
          </w:p>
        </w:tc>
        <w:tc>
          <w:tcPr>
            <w:tcW w:w="1238" w:type="dxa"/>
            <w:tcBorders/>
            <w:shd w:fill="CCEEFF" w:val="clear"/>
            <w:vAlign w:val="center"/>
          </w:tcPr>
          <w:p>
            <w:pPr>
              <w:pStyle w:val="TableContents"/>
              <w:bidi w:val="0"/>
              <w:spacing w:before="0" w:after="283"/>
              <w:jc w:val="right"/>
              <w:rPr>
                <w:caps/>
              </w:rPr>
            </w:pPr>
            <w:r>
              <w:rPr>
                <w:caps/>
              </w:rPr>
              <w:t>1,511,978</w:t>
            </w:r>
          </w:p>
        </w:tc>
        <w:tc>
          <w:tcPr>
            <w:tcW w:w="60" w:type="dxa"/>
            <w:tcBorders/>
            <w:shd w:fill="CCEEFF" w:val="clear"/>
            <w:vAlign w:val="center"/>
          </w:tcPr>
          <w:p>
            <w:pPr>
              <w:pStyle w:val="TableContents"/>
              <w:bidi w:val="0"/>
              <w:spacing w:before="0" w:after="283"/>
              <w:jc w:val="left"/>
              <w:rPr>
                <w:caps/>
              </w:rPr>
            </w:pPr>
            <w:r>
              <w:rPr>
                <w:caps/>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710" w:type="dxa"/>
            <w:tcBorders/>
            <w:shd w:fill="CCEEFF" w:val="clear"/>
            <w:vAlign w:val="center"/>
          </w:tcPr>
          <w:p>
            <w:pPr>
              <w:pStyle w:val="TableContents"/>
              <w:bidi w:val="0"/>
              <w:spacing w:before="0" w:after="283"/>
              <w:jc w:val="right"/>
              <w:rPr/>
            </w:pPr>
            <w:r>
              <w:rPr/>
              <w:t>1,748,808</w:t>
            </w:r>
          </w:p>
        </w:tc>
        <w:tc>
          <w:tcPr>
            <w:tcW w:w="75" w:type="dxa"/>
            <w:tcBorders/>
            <w:shd w:fill="CCEEFF" w:val="clear"/>
            <w:vAlign w:val="center"/>
          </w:tcPr>
          <w:p>
            <w:pPr>
              <w:pStyle w:val="TableContents"/>
              <w:bidi w:val="0"/>
              <w:spacing w:before="0" w:after="283"/>
              <w:jc w:val="left"/>
              <w:rPr/>
            </w:pPr>
            <w:r>
              <w:rPr/>
              <w:t> </w:t>
            </w:r>
            <w:bookmarkStart w:id="745" w:name="xdx_408_ecustom--AdvisoryFees_iI_maAPAOA"/>
            <w:bookmarkEnd w:id="745"/>
          </w:p>
        </w:tc>
      </w:tr>
      <w:tr>
        <w:trPr/>
        <w:tc>
          <w:tcPr>
            <w:tcW w:w="2720" w:type="dxa"/>
            <w:tcBorders/>
            <w:shd w:fill="FFFFFF" w:val="clear"/>
            <w:vAlign w:val="center"/>
          </w:tcPr>
          <w:p>
            <w:pPr>
              <w:pStyle w:val="TableContents"/>
              <w:bidi w:val="0"/>
              <w:spacing w:before="0" w:after="283"/>
              <w:jc w:val="left"/>
              <w:rPr/>
            </w:pPr>
            <w:r>
              <w:rPr/>
              <w:t>Capital market advisory fees</w:t>
            </w:r>
          </w:p>
        </w:tc>
        <w:tc>
          <w:tcPr>
            <w:tcW w:w="60" w:type="dxa"/>
            <w:tcBorders/>
            <w:shd w:fill="FFFFFF" w:val="clear"/>
            <w:vAlign w:val="center"/>
          </w:tcPr>
          <w:p>
            <w:pPr>
              <w:pStyle w:val="TableContents"/>
              <w:bidi w:val="0"/>
              <w:spacing w:before="0" w:after="283"/>
              <w:jc w:val="left"/>
              <w:rPr>
                <w:caps/>
              </w:rPr>
            </w:pPr>
            <w:r>
              <w:rPr>
                <w:caps/>
              </w:rPr>
              <w:t> </w:t>
            </w:r>
          </w:p>
        </w:tc>
        <w:tc>
          <w:tcPr>
            <w:tcW w:w="176" w:type="dxa"/>
            <w:tcBorders/>
            <w:shd w:fill="FFFFFF" w:val="clear"/>
            <w:vAlign w:val="center"/>
          </w:tcPr>
          <w:p>
            <w:pPr>
              <w:pStyle w:val="TableContents"/>
              <w:bidi w:val="0"/>
              <w:spacing w:before="0" w:after="283"/>
              <w:jc w:val="left"/>
              <w:rPr>
                <w:caps/>
              </w:rPr>
            </w:pPr>
            <w:r>
              <w:rPr>
                <w:caps/>
              </w:rPr>
              <w:t> </w:t>
            </w:r>
          </w:p>
        </w:tc>
        <w:tc>
          <w:tcPr>
            <w:tcW w:w="1238" w:type="dxa"/>
            <w:tcBorders/>
            <w:shd w:fill="FFFFFF" w:val="clear"/>
            <w:vAlign w:val="center"/>
          </w:tcPr>
          <w:p>
            <w:pPr>
              <w:pStyle w:val="TableContents"/>
              <w:bidi w:val="0"/>
              <w:spacing w:before="0" w:after="283"/>
              <w:jc w:val="right"/>
              <w:rPr>
                <w:caps/>
              </w:rPr>
            </w:pPr>
            <w:r>
              <w:rPr>
                <w:caps/>
              </w:rPr>
              <w:t>1,419,388</w:t>
            </w:r>
          </w:p>
        </w:tc>
        <w:tc>
          <w:tcPr>
            <w:tcW w:w="60" w:type="dxa"/>
            <w:tcBorders/>
            <w:shd w:fill="FFFFFF" w:val="clear"/>
            <w:vAlign w:val="center"/>
          </w:tcPr>
          <w:p>
            <w:pPr>
              <w:pStyle w:val="TableContents"/>
              <w:bidi w:val="0"/>
              <w:spacing w:before="0" w:after="283"/>
              <w:jc w:val="left"/>
              <w:rPr>
                <w:caps/>
              </w:rPr>
            </w:pPr>
            <w:r>
              <w:rPr>
                <w:caps/>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1,419,388</w:t>
            </w:r>
          </w:p>
        </w:tc>
        <w:tc>
          <w:tcPr>
            <w:tcW w:w="75" w:type="dxa"/>
            <w:tcBorders/>
            <w:shd w:fill="FFFFFF" w:val="clear"/>
            <w:vAlign w:val="center"/>
          </w:tcPr>
          <w:p>
            <w:pPr>
              <w:pStyle w:val="TableContents"/>
              <w:bidi w:val="0"/>
              <w:spacing w:before="0" w:after="283"/>
              <w:jc w:val="left"/>
              <w:rPr/>
            </w:pPr>
            <w:r>
              <w:rPr/>
              <w:t> </w:t>
            </w:r>
            <w:bookmarkStart w:id="746" w:name="xdx_403_ecustom--PersonnelRelatedLiabili"/>
            <w:bookmarkEnd w:id="746"/>
          </w:p>
        </w:tc>
      </w:tr>
      <w:tr>
        <w:trPr/>
        <w:tc>
          <w:tcPr>
            <w:tcW w:w="2720" w:type="dxa"/>
            <w:tcBorders/>
            <w:shd w:fill="CCEEFF" w:val="clear"/>
            <w:vAlign w:val="center"/>
          </w:tcPr>
          <w:p>
            <w:pPr>
              <w:pStyle w:val="TableContents"/>
              <w:bidi w:val="0"/>
              <w:spacing w:before="0" w:after="283"/>
              <w:jc w:val="left"/>
              <w:rPr/>
            </w:pPr>
            <w:r>
              <w:rPr/>
              <w:t>Personnel related liabilities</w:t>
            </w:r>
          </w:p>
        </w:tc>
        <w:tc>
          <w:tcPr>
            <w:tcW w:w="60" w:type="dxa"/>
            <w:tcBorders/>
            <w:shd w:fill="CCEEFF" w:val="clear"/>
            <w:vAlign w:val="center"/>
          </w:tcPr>
          <w:p>
            <w:pPr>
              <w:pStyle w:val="TableContents"/>
              <w:bidi w:val="0"/>
              <w:spacing w:before="0" w:after="283"/>
              <w:jc w:val="left"/>
              <w:rPr>
                <w:caps/>
              </w:rPr>
            </w:pPr>
            <w:r>
              <w:rPr>
                <w:caps/>
              </w:rPr>
              <w:t> </w:t>
            </w:r>
          </w:p>
        </w:tc>
        <w:tc>
          <w:tcPr>
            <w:tcW w:w="176" w:type="dxa"/>
            <w:tcBorders/>
            <w:shd w:fill="CCEEFF" w:val="clear"/>
            <w:vAlign w:val="center"/>
          </w:tcPr>
          <w:p>
            <w:pPr>
              <w:pStyle w:val="TableContents"/>
              <w:bidi w:val="0"/>
              <w:spacing w:before="0" w:after="283"/>
              <w:jc w:val="left"/>
              <w:rPr>
                <w:caps/>
              </w:rPr>
            </w:pPr>
            <w:r>
              <w:rPr>
                <w:caps/>
              </w:rPr>
              <w:t> </w:t>
            </w:r>
          </w:p>
        </w:tc>
        <w:tc>
          <w:tcPr>
            <w:tcW w:w="1238" w:type="dxa"/>
            <w:tcBorders/>
            <w:shd w:fill="CCEEFF" w:val="clear"/>
            <w:vAlign w:val="center"/>
          </w:tcPr>
          <w:p>
            <w:pPr>
              <w:pStyle w:val="TableContents"/>
              <w:bidi w:val="0"/>
              <w:spacing w:before="0" w:after="283"/>
              <w:jc w:val="right"/>
              <w:rPr>
                <w:caps/>
              </w:rPr>
            </w:pPr>
            <w:r>
              <w:rPr>
                <w:caps/>
              </w:rPr>
              <w:t>1,157,370</w:t>
            </w:r>
          </w:p>
        </w:tc>
        <w:tc>
          <w:tcPr>
            <w:tcW w:w="60" w:type="dxa"/>
            <w:tcBorders/>
            <w:shd w:fill="CCEEFF" w:val="clear"/>
            <w:vAlign w:val="center"/>
          </w:tcPr>
          <w:p>
            <w:pPr>
              <w:pStyle w:val="TableContents"/>
              <w:bidi w:val="0"/>
              <w:spacing w:before="0" w:after="283"/>
              <w:jc w:val="left"/>
              <w:rPr>
                <w:caps/>
              </w:rPr>
            </w:pPr>
            <w:r>
              <w:rPr>
                <w:caps/>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1,667,247</w:t>
            </w:r>
          </w:p>
        </w:tc>
        <w:tc>
          <w:tcPr>
            <w:tcW w:w="75" w:type="dxa"/>
            <w:tcBorders/>
            <w:shd w:fill="CCEEFF" w:val="clear"/>
            <w:vAlign w:val="center"/>
          </w:tcPr>
          <w:p>
            <w:pPr>
              <w:pStyle w:val="TableContents"/>
              <w:bidi w:val="0"/>
              <w:spacing w:before="0" w:after="283"/>
              <w:jc w:val="left"/>
              <w:rPr/>
            </w:pPr>
            <w:r>
              <w:rPr/>
              <w:t> </w:t>
            </w:r>
            <w:bookmarkStart w:id="747" w:name="xdx_40D_eus-gaap--InterestPayableCurrent"/>
            <w:bookmarkEnd w:id="747"/>
          </w:p>
        </w:tc>
      </w:tr>
      <w:tr>
        <w:trPr/>
        <w:tc>
          <w:tcPr>
            <w:tcW w:w="272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caps/>
              </w:rPr>
            </w:pPr>
            <w:r>
              <w:rPr>
                <w:caps/>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caps/>
              </w:rPr>
            </w:pPr>
            <w:r>
              <w:rPr>
                <w:caps/>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caps/>
              </w:rPr>
            </w:pPr>
            <w:r>
              <w:rPr>
                <w:caps/>
              </w:rPr>
              <w:t>-</w:t>
            </w:r>
          </w:p>
        </w:tc>
        <w:tc>
          <w:tcPr>
            <w:tcW w:w="60" w:type="dxa"/>
            <w:tcBorders/>
            <w:shd w:fill="FFFFFF" w:val="clear"/>
            <w:vAlign w:val="center"/>
          </w:tcPr>
          <w:p>
            <w:pPr>
              <w:pStyle w:val="TableContents"/>
              <w:bidi w:val="0"/>
              <w:spacing w:before="0" w:after="283"/>
              <w:jc w:val="left"/>
              <w:rPr>
                <w:caps/>
              </w:rPr>
            </w:pPr>
            <w:r>
              <w:rPr>
                <w:caps/>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pPr>
            <w:r>
              <w:rPr/>
              <w:t>1,556</w:t>
            </w:r>
          </w:p>
        </w:tc>
        <w:tc>
          <w:tcPr>
            <w:tcW w:w="75" w:type="dxa"/>
            <w:tcBorders/>
            <w:shd w:fill="FFFFFF" w:val="clear"/>
            <w:vAlign w:val="center"/>
          </w:tcPr>
          <w:p>
            <w:pPr>
              <w:pStyle w:val="TableContents"/>
              <w:bidi w:val="0"/>
              <w:spacing w:before="0" w:after="283"/>
              <w:jc w:val="left"/>
              <w:rPr/>
            </w:pPr>
            <w:r>
              <w:rPr/>
              <w:t> </w:t>
            </w:r>
            <w:bookmarkStart w:id="748" w:name="xdx_405_eus-gaap--AccountsPayableAndOthe"/>
            <w:bookmarkEnd w:id="748"/>
          </w:p>
        </w:tc>
      </w:tr>
      <w:tr>
        <w:trPr/>
        <w:tc>
          <w:tcPr>
            <w:tcW w:w="272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caps/>
              </w:rPr>
            </w:pPr>
            <w:r>
              <w:rPr>
                <w:caps/>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b/>
                <w:caps/>
              </w:rPr>
            </w:pPr>
            <w:r>
              <w:rPr>
                <w:b/>
                <w:caps/>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b/>
                <w:caps/>
              </w:rPr>
            </w:pPr>
            <w:r>
              <w:rPr>
                <w:b/>
                <w:caps/>
              </w:rPr>
              <w:t>4,088,736</w:t>
            </w:r>
          </w:p>
        </w:tc>
        <w:tc>
          <w:tcPr>
            <w:tcW w:w="60" w:type="dxa"/>
            <w:tcBorders/>
            <w:shd w:fill="CCEEFF" w:val="clear"/>
            <w:vAlign w:val="center"/>
          </w:tcPr>
          <w:p>
            <w:pPr>
              <w:pStyle w:val="TableContents"/>
              <w:bidi w:val="0"/>
              <w:spacing w:before="0" w:after="283"/>
              <w:jc w:val="left"/>
              <w:rPr>
                <w:caps/>
              </w:rPr>
            </w:pPr>
            <w:r>
              <w:rPr>
                <w:caps/>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4,836,999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49" w:name="xdx_8A3_zVKLmmWz5id4"/>
      <w:bookmarkEnd w:id="74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50" w:name="xdx_800_eus-gaap--ShortTermDebtTextBlock"/>
      <w:bookmarkEnd w:id="750"/>
      <w:r>
        <w:rPr>
          <w:rFonts w:ascii="Times New Roman;Times;Serif" w:hAnsi="Times New Roman;Times;Serif"/>
          <w:b/>
          <w:i w:val="false"/>
          <w:caps/>
          <w:sz w:val="20"/>
        </w:rPr>
        <w:t xml:space="preserve">NOTE 13 – </w:t>
      </w:r>
      <w:bookmarkStart w:id="751" w:name="xdx_82A_zbzyUjmcMUb8"/>
      <w:bookmarkEnd w:id="751"/>
      <w:r>
        <w:rPr>
          <w:rFonts w:ascii="Times New Roman;Times;Serif" w:hAnsi="Times New Roman;Times;Serif"/>
          <w:b/>
          <w:i w:val="false"/>
          <w:caps w:val="false"/>
          <w:smallCaps w:val="false"/>
          <w:sz w:val="20"/>
        </w:rPr>
        <w:t>SHORT-TERM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Insurance funding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2025, the Company entered into a financing agreement of $</w:t>
      </w:r>
      <w:bookmarkStart w:id="752" w:name="xdx_907_eus-gaap--ShortTermBorrowings_iI"/>
      <w:bookmarkEnd w:id="752"/>
      <w:r>
        <w:rPr>
          <w:rFonts w:ascii="Times New Roman;Times;Serif" w:hAnsi="Times New Roman;Times;Serif"/>
          <w:b w:val="false"/>
          <w:i w:val="false"/>
          <w:caps w:val="false"/>
          <w:smallCaps w:val="false"/>
          <w:sz w:val="20"/>
        </w:rPr>
        <w:t xml:space="preserve">407,500 for the purchase of an insurance policy with AFCO Insurance Premium Finance. The debt is payable in monthly installments through June 2026 and bears an interest rate of </w:t>
      </w:r>
      <w:bookmarkStart w:id="753" w:name="xdx_901_eus-gaap--DebtInstrumentInterest"/>
      <w:bookmarkEnd w:id="753"/>
      <w:r>
        <w:rPr>
          <w:rFonts w:ascii="Times New Roman;Times;Serif" w:hAnsi="Times New Roman;Times;Serif"/>
          <w:b w:val="false"/>
          <w:i w:val="false"/>
          <w:caps w:val="false"/>
          <w:smallCaps w:val="false"/>
          <w:sz w:val="20"/>
        </w:rPr>
        <w:t xml:space="preserve">7.5%. The carrying amount of </w:t>
      </w:r>
      <w:bookmarkStart w:id="754" w:name="xdx_907_eus-gaap--DebtInstrumentCarrying"/>
      <w:bookmarkEnd w:id="754"/>
      <w:r>
        <w:rPr>
          <w:rFonts w:ascii="Times New Roman;Times;Serif" w:hAnsi="Times New Roman;Times;Serif"/>
          <w:b w:val="false"/>
          <w:i w:val="false"/>
          <w:caps w:val="false"/>
          <w:smallCaps w:val="false"/>
          <w:sz w:val="20"/>
        </w:rPr>
        <w:t>Nil and $</w:t>
      </w:r>
      <w:bookmarkStart w:id="755" w:name="xdx_90E_eus-gaap--DebtInstrumentCarrying"/>
      <w:bookmarkEnd w:id="755"/>
      <w:r>
        <w:rPr>
          <w:rFonts w:ascii="Times New Roman;Times;Serif" w:hAnsi="Times New Roman;Times;Serif"/>
          <w:b w:val="false"/>
          <w:i w:val="false"/>
          <w:caps w:val="false"/>
          <w:smallCaps w:val="false"/>
          <w:sz w:val="20"/>
        </w:rPr>
        <w:t>205,403 is included as Short-term Loan on the accompanying unaudited condensed consolidated balance sheet as on June 30, 2026, and the audited consolidated balance sheet as on December 31, 2025, respectively. The Company recognized interest expense of $</w:t>
      </w:r>
      <w:bookmarkStart w:id="756" w:name="xdx_904_eus-gaap--InterestExpenseDebt_c2"/>
      <w:bookmarkEnd w:id="756"/>
      <w:r>
        <w:rPr>
          <w:rFonts w:ascii="Times New Roman;Times;Serif" w:hAnsi="Times New Roman;Times;Serif"/>
          <w:b w:val="false"/>
          <w:i w:val="false"/>
          <w:caps w:val="false"/>
          <w:smallCaps w:val="false"/>
          <w:sz w:val="20"/>
        </w:rPr>
        <w:t>963 and $</w:t>
      </w:r>
      <w:bookmarkStart w:id="757" w:name="xdx_908_eus-gaap--InterestExpenseDebt_c2"/>
      <w:bookmarkEnd w:id="757"/>
      <w:r>
        <w:rPr>
          <w:rFonts w:ascii="Times New Roman;Times;Serif" w:hAnsi="Times New Roman;Times;Serif"/>
          <w:b w:val="false"/>
          <w:i w:val="false"/>
          <w:caps w:val="false"/>
          <w:smallCaps w:val="false"/>
          <w:sz w:val="20"/>
        </w:rPr>
        <w:t>4,217 on the accompanying unaudited condensed consolidated statement of operations for the three and six months ended June 30,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separate insurance financing agreement entered into in July 2024 was fully repaid in June 2025; the Company recognized related interest expense of $</w:t>
      </w:r>
      <w:bookmarkStart w:id="758" w:name="xdx_900_eus-gaap--InterestExpenseDebt_c2"/>
      <w:bookmarkEnd w:id="758"/>
      <w:r>
        <w:rPr>
          <w:rFonts w:ascii="Times New Roman;Times;Serif" w:hAnsi="Times New Roman;Times;Serif"/>
          <w:b w:val="false"/>
          <w:i w:val="false"/>
          <w:caps w:val="false"/>
          <w:smallCaps w:val="false"/>
          <w:sz w:val="20"/>
        </w:rPr>
        <w:t>1,164 and $</w:t>
      </w:r>
      <w:bookmarkStart w:id="759" w:name="xdx_90E_eus-gaap--InterestExpenseDebt_c2"/>
      <w:bookmarkEnd w:id="759"/>
      <w:r>
        <w:rPr>
          <w:rFonts w:ascii="Times New Roman;Times;Serif" w:hAnsi="Times New Roman;Times;Serif"/>
          <w:b w:val="false"/>
          <w:i w:val="false"/>
          <w:caps w:val="false"/>
          <w:smallCaps w:val="false"/>
          <w:sz w:val="20"/>
        </w:rPr>
        <w:t>5,067 for the three and six months ended June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Subsequent to three months ended June 30, 2026, the Company entered into a financing agreement of $</w:t>
      </w:r>
      <w:bookmarkStart w:id="760" w:name="xdx_902_eus-gaap--PaymentsForProceedsFro"/>
      <w:bookmarkEnd w:id="760"/>
      <w:r>
        <w:rPr/>
        <w:t>493,532 for the purchase of an insurance policy with AFCO Insurance Premium Finance. The Company made a down payment of $</w:t>
      </w:r>
      <w:bookmarkStart w:id="761" w:name="xdx_90E_eus-gaap--DebtInstrumentPeriodic"/>
      <w:bookmarkEnd w:id="761"/>
      <w:r>
        <w:rPr/>
        <w:t xml:space="preserve">172,736, which was applied to the loan amount at the time of the loan agreement. The debt is payable in </w:t>
      </w:r>
      <w:bookmarkStart w:id="762" w:name="xdx_90B_eus-gaap--LongTermDebtTerm_iI_dt"/>
      <w:bookmarkEnd w:id="762"/>
      <w:r>
        <w:rPr/>
        <w:t>7 monthly installments of $</w:t>
      </w:r>
      <w:bookmarkStart w:id="763" w:name="xdx_90F_eus-gaap--DebtInstrumentPeriodic"/>
      <w:bookmarkEnd w:id="763"/>
      <w:r>
        <w:rPr/>
        <w:t xml:space="preserve">47,189 per month and bears an interest rate of </w:t>
      </w:r>
      <w:bookmarkStart w:id="764" w:name="xdx_907_eus-gaap--DebtInstrumentInterest"/>
      <w:bookmarkEnd w:id="764"/>
      <w:r>
        <w:rPr/>
        <w:t>6.99%.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short-term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short-term loans with Endurance Antarctica Partners II, LLC and under the Term Sheets (including DRE Chicago LLC, a related party) are described in Note 11, Related Party Transactions above and described in greater detail in Note 7 to the Company’s Form 10-K. Both arrangements were fully repaid, together with accrued interest, as of December 31, 2025, and carried no balance as of June 30, 2026. The Company recognized interest expense of $</w:t>
      </w:r>
      <w:bookmarkStart w:id="765" w:name="xdx_903_eus-gaap--InterestExpense_c20250"/>
      <w:bookmarkStart w:id="766" w:name="xdx_900_eus-gaap--InterestExpense_c20250"/>
      <w:bookmarkEnd w:id="765"/>
      <w:bookmarkEnd w:id="766"/>
      <w:r>
        <w:rPr>
          <w:rFonts w:ascii="Times New Roman;Times;Serif" w:hAnsi="Times New Roman;Times;Serif"/>
          <w:b w:val="false"/>
          <w:i w:val="false"/>
          <w:caps w:val="false"/>
          <w:smallCaps w:val="false"/>
          <w:sz w:val="20"/>
        </w:rPr>
        <w:t>103,938 towards other short-term loans on the accompanying unaudited condensed consolidated statements of operations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67" w:name="xdx_898_eus-gaap--ScheduleOfShortTermDeb"/>
      <w:bookmarkEnd w:id="767"/>
      <w:r>
        <w:rPr>
          <w:rFonts w:ascii="Times New Roman;Times;Serif" w:hAnsi="Times New Roman;Times;Serif"/>
          <w:b w:val="false"/>
          <w:i w:val="false"/>
          <w:caps w:val="false"/>
          <w:smallCaps w:val="false"/>
          <w:sz w:val="20"/>
        </w:rPr>
        <w:t>The following table summarizes the Company’s outstanding short-term loan arrangements:</w:t>
      </w:r>
    </w:p>
    <w:p>
      <w:pPr>
        <w:pStyle w:val="TextBody"/>
        <w:bidi w:val="0"/>
        <w:spacing w:before="0" w:after="0"/>
        <w:ind w:left="0" w:right="0" w:hanging="0"/>
        <w:jc w:val="both"/>
        <w:rPr>
          <w:caps w:val="false"/>
          <w:smallCaps w:val="false"/>
        </w:rPr>
      </w:pPr>
      <w:r>
        <w:rPr>
          <w:caps w:val="false"/>
          <w:smallCaps w:val="false"/>
        </w:rPr>
        <w:t>  </w:t>
      </w:r>
      <w:bookmarkStart w:id="768" w:name="xdx_8B2_zsnbUr30LRJ"/>
      <w:bookmarkEnd w:id="768"/>
      <w:r>
        <w:rPr>
          <w:rFonts w:ascii="Times New Roman;Times;Serif" w:hAnsi="Times New Roman;Times;Serif"/>
          <w:b w:val="false"/>
          <w:i w:val="false"/>
          <w:caps w:val="false"/>
          <w:smallCaps w:val="false"/>
          <w:sz w:val="20"/>
        </w:rPr>
        <w:t>SCHEDULE OF SHORT TERM LOAN ARRANGEMENTS</w:t>
      </w:r>
    </w:p>
    <w:tbl>
      <w:tblPr>
        <w:tblW w:w="5563" w:type="dxa"/>
        <w:jc w:val="left"/>
        <w:tblInd w:w="0" w:type="dxa"/>
        <w:tblLayout w:type="fixed"/>
        <w:tblCellMar>
          <w:top w:w="0" w:type="dxa"/>
          <w:left w:w="0" w:type="dxa"/>
          <w:bottom w:w="0" w:type="dxa"/>
          <w:right w:w="0" w:type="dxa"/>
        </w:tblCellMar>
      </w:tblPr>
      <w:tblGrid>
        <w:gridCol w:w="2210"/>
        <w:gridCol w:w="60"/>
        <w:gridCol w:w="840"/>
        <w:gridCol w:w="574"/>
        <w:gridCol w:w="60"/>
        <w:gridCol w:w="60"/>
        <w:gridCol w:w="250"/>
        <w:gridCol w:w="1434"/>
        <w:gridCol w:w="75"/>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9" w:name="xdx_499_20260630_zNO76KrMQJO"/>
            <w:bookmarkEnd w:id="769"/>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0" w:name="xdx_49A_20251231_zpkUIQvBKQ8a"/>
            <w:bookmarkEnd w:id="770"/>
          </w:p>
        </w:tc>
        <w:tc>
          <w:tcPr>
            <w:tcW w:w="16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2025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75" w:type="dxa"/>
            <w:tcBorders/>
            <w:vAlign w:val="center"/>
          </w:tcPr>
          <w:p>
            <w:pPr>
              <w:pStyle w:val="TableContents"/>
              <w:bidi w:val="0"/>
              <w:spacing w:before="0" w:after="283"/>
              <w:jc w:val="left"/>
              <w:rPr/>
            </w:pPr>
            <w:r>
              <w:rPr/>
              <w:t> </w:t>
            </w:r>
            <w:bookmarkStart w:id="771" w:name="xdx_407_eus-gaap--ShortTermBorrowings_iI"/>
            <w:bookmarkEnd w:id="771"/>
          </w:p>
        </w:tc>
      </w:tr>
      <w:tr>
        <w:trPr/>
        <w:tc>
          <w:tcPr>
            <w:tcW w:w="2210" w:type="dxa"/>
            <w:tcBorders/>
            <w:shd w:fill="CCEEFF" w:val="clear"/>
            <w:vAlign w:val="center"/>
          </w:tcPr>
          <w:p>
            <w:pPr>
              <w:pStyle w:val="TableContents"/>
              <w:bidi w:val="0"/>
              <w:spacing w:before="0" w:after="283"/>
              <w:jc w:val="left"/>
              <w:rPr/>
            </w:pPr>
            <w:r>
              <w:rPr/>
              <w:t>Insurance funding loan</w:t>
            </w:r>
          </w:p>
        </w:tc>
        <w:tc>
          <w:tcPr>
            <w:tcW w:w="6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pPr>
            <w:r>
              <w:rPr/>
              <w:t>$</w:t>
            </w:r>
          </w:p>
        </w:tc>
        <w:tc>
          <w:tcPr>
            <w:tcW w:w="5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434" w:type="dxa"/>
            <w:tcBorders/>
            <w:shd w:fill="CCEEFF" w:val="clear"/>
            <w:vAlign w:val="center"/>
          </w:tcPr>
          <w:p>
            <w:pPr>
              <w:pStyle w:val="TableContents"/>
              <w:bidi w:val="0"/>
              <w:spacing w:before="0" w:after="283"/>
              <w:jc w:val="right"/>
              <w:rPr/>
            </w:pPr>
            <w:r>
              <w:rPr/>
              <w:t>205,403</w:t>
            </w:r>
          </w:p>
        </w:tc>
        <w:tc>
          <w:tcPr>
            <w:tcW w:w="75" w:type="dxa"/>
            <w:tcBorders/>
            <w:shd w:fill="CCEEFF" w:val="clear"/>
            <w:vAlign w:val="center"/>
          </w:tcPr>
          <w:p>
            <w:pPr>
              <w:pStyle w:val="TableContents"/>
              <w:bidi w:val="0"/>
              <w:spacing w:before="0" w:after="283"/>
              <w:jc w:val="left"/>
              <w:rPr/>
            </w:pPr>
            <w:r>
              <w:rPr/>
              <w:t> </w:t>
            </w:r>
            <w:bookmarkStart w:id="772" w:name="xdx_400_eus-gaap--ShortTermBorrowings_iI"/>
            <w:bookmarkEnd w:id="772"/>
          </w:p>
        </w:tc>
      </w:tr>
      <w:tr>
        <w:trPr/>
        <w:tc>
          <w:tcPr>
            <w:tcW w:w="221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8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3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205,403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73" w:name="xdx_8AB_zqzpu8u9M73i"/>
      <w:bookmarkEnd w:id="77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774" w:name="xdx_80A_ecustom--LeasesOfLesseesDisclosu"/>
      <w:bookmarkEnd w:id="774"/>
      <w:r>
        <w:rPr>
          <w:rFonts w:ascii="Times New Roman;Times;Serif" w:hAnsi="Times New Roman;Times;Serif"/>
          <w:b/>
          <w:i w:val="false"/>
          <w:caps/>
          <w:sz w:val="20"/>
        </w:rPr>
        <w:t xml:space="preserve">NOTE 14 - </w:t>
      </w:r>
      <w:bookmarkStart w:id="775" w:name="xdx_820_z2Gsic9t43lj"/>
      <w:bookmarkEnd w:id="775"/>
      <w:r>
        <w:rPr>
          <w:rFonts w:ascii="Times New Roman;Times;Serif" w:hAnsi="Times New Roman;Times;Serif"/>
          <w:b/>
          <w:i w:val="false"/>
          <w:caps/>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 lease agreement with Tower Lake LLC for office space. The Company has not recognized any right-of-use asset or lease liability pursuant to this lease as it is a short-term lease. The Company recorded rent expense of $</w:t>
      </w:r>
      <w:bookmarkStart w:id="776" w:name="xdx_90B_eus-gaap--PaymentsForRent_c20250"/>
      <w:bookmarkStart w:id="777" w:name="xdx_90A_eus-gaap--PaymentsForRent_c20260"/>
      <w:bookmarkEnd w:id="776"/>
      <w:bookmarkEnd w:id="777"/>
      <w:r>
        <w:rPr>
          <w:rFonts w:ascii="Times New Roman;Times;Serif" w:hAnsi="Times New Roman;Times;Serif"/>
          <w:b w:val="false"/>
          <w:i w:val="false"/>
          <w:caps w:val="false"/>
          <w:smallCaps w:val="false"/>
          <w:sz w:val="20"/>
        </w:rPr>
        <w:t>7,811 for the three months ended June 30, 2026 and 2025 and $</w:t>
      </w:r>
      <w:bookmarkStart w:id="778" w:name="xdx_90E_eus-gaap--PaymentsForRent_c20250"/>
      <w:bookmarkStart w:id="779" w:name="xdx_902_eus-gaap--PaymentsForRent_c20260"/>
      <w:bookmarkEnd w:id="778"/>
      <w:bookmarkEnd w:id="779"/>
      <w:r>
        <w:rPr>
          <w:rFonts w:ascii="Times New Roman;Times;Serif" w:hAnsi="Times New Roman;Times;Serif"/>
          <w:b w:val="false"/>
          <w:i w:val="false"/>
          <w:caps w:val="false"/>
          <w:smallCaps w:val="false"/>
          <w:sz w:val="20"/>
        </w:rPr>
        <w:t>15,621 for the six months ended June 30, 2026, and 2025,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a two-year sublease agreement expiring on February 29, 2028, with Chesmar Homes, LLC for office space located in Houston, Texas. The monthly base rent under the agreement is $</w:t>
      </w:r>
      <w:bookmarkStart w:id="780" w:name="xdx_90F_eus-gaap--PaymentsForRent_c20260"/>
      <w:bookmarkEnd w:id="780"/>
      <w:r>
        <w:rPr>
          <w:rFonts w:ascii="Times New Roman;Times;Serif" w:hAnsi="Times New Roman;Times;Serif"/>
          <w:b w:val="false"/>
          <w:i w:val="false"/>
          <w:caps w:val="false"/>
          <w:smallCaps w:val="false"/>
          <w:sz w:val="20"/>
        </w:rPr>
        <w:t>8,761 and the Company paid a security deposit of $</w:t>
      </w:r>
      <w:bookmarkStart w:id="781" w:name="xdx_903_eus-gaap--SecurityDeposit_iI_c20"/>
      <w:bookmarkEnd w:id="781"/>
      <w:r>
        <w:rPr>
          <w:rFonts w:ascii="Times New Roman;Times;Serif" w:hAnsi="Times New Roman;Times;Serif"/>
          <w:b w:val="false"/>
          <w:i w:val="false"/>
          <w:caps w:val="false"/>
          <w:smallCaps w:val="false"/>
          <w:sz w:val="20"/>
        </w:rPr>
        <w:t>17,523 upon execution of the sublease agreement, 50% of which will be adjusted against the final lease payment. The lease was contractually scheduled to commence on March 1, 2026. However, as the Company obtained control of the underlying asset, including physical possession, on May 1, 2026, the lease commenced on May 1, 2026, under ASC 842, “Leases”. The Company recognized a right-of-use asset and corresponding lease liability of $</w:t>
      </w:r>
      <w:bookmarkStart w:id="782" w:name="xdx_906_eus-gaap--RightOfUseAssetObtaine"/>
      <w:bookmarkEnd w:id="782"/>
      <w:r>
        <w:rPr>
          <w:rFonts w:ascii="Times New Roman;Times;Serif" w:hAnsi="Times New Roman;Times;Serif"/>
          <w:b w:val="false"/>
          <w:i w:val="false"/>
          <w:caps w:val="false"/>
          <w:smallCaps w:val="false"/>
          <w:sz w:val="20"/>
        </w:rPr>
        <w:t>173,254 as of May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operating lease cost of $</w:t>
      </w:r>
      <w:bookmarkStart w:id="783" w:name="xdx_902_eus-gaap--OperatingLeaseCost_c20"/>
      <w:bookmarkStart w:id="784" w:name="xdx_906_eus-gaap--OperatingLeaseCost_c20"/>
      <w:bookmarkEnd w:id="783"/>
      <w:bookmarkEnd w:id="784"/>
      <w:r>
        <w:rPr>
          <w:rFonts w:ascii="Times New Roman;Times;Serif" w:hAnsi="Times New Roman;Times;Serif"/>
          <w:b w:val="false"/>
          <w:i w:val="false"/>
          <w:caps w:val="false"/>
          <w:smallCaps w:val="false"/>
          <w:sz w:val="20"/>
        </w:rPr>
        <w:t>17,524 for the three and six months ended June 30, 2026. Cash paid for amounts included in the measurement of operating lease liabilities was $</w:t>
      </w:r>
      <w:bookmarkStart w:id="785" w:name="xdx_90E_eus-gaap--IncreaseDecreaseInOper"/>
      <w:bookmarkStart w:id="786" w:name="xdx_909_eus-gaap--IncreaseDecreaseInOper"/>
      <w:bookmarkEnd w:id="785"/>
      <w:bookmarkEnd w:id="786"/>
      <w:r>
        <w:rPr>
          <w:rFonts w:ascii="Times New Roman;Times;Serif" w:hAnsi="Times New Roman;Times;Serif"/>
          <w:b w:val="false"/>
          <w:i w:val="false"/>
          <w:caps w:val="false"/>
          <w:smallCaps w:val="false"/>
          <w:sz w:val="20"/>
        </w:rPr>
        <w:t xml:space="preserve">17,524 for both the three and six months ended June 30, 2026, and is classified within operating activities in the condensed consolidated statement of cash flows. The weighted average remaining term of operating leases was </w:t>
      </w:r>
      <w:bookmarkStart w:id="787" w:name="xdx_901_eus-gaap--OperatingLeaseWeighted"/>
      <w:bookmarkEnd w:id="787"/>
      <w:r>
        <w:rPr>
          <w:rFonts w:ascii="Times New Roman;Times;Serif" w:hAnsi="Times New Roman;Times;Serif"/>
          <w:b w:val="false"/>
          <w:i w:val="false"/>
          <w:caps w:val="false"/>
          <w:smallCaps w:val="false"/>
          <w:sz w:val="20"/>
        </w:rPr>
        <w:t xml:space="preserve">1.67 years as of June 30, 2026, and the weighted-average discount rate used to measure the present value of the operating lease liabilities was </w:t>
      </w:r>
      <w:bookmarkStart w:id="788" w:name="xdx_90E_eus-gaap--OperatingLeaseWeighted"/>
      <w:bookmarkEnd w:id="788"/>
      <w:r>
        <w:rPr>
          <w:rFonts w:ascii="Times New Roman;Times;Serif" w:hAnsi="Times New Roman;Times;Serif"/>
          <w:b w:val="false"/>
          <w:i w:val="false"/>
          <w:caps w:val="false"/>
          <w:smallCaps w:val="false"/>
          <w:sz w:val="20"/>
        </w:rPr>
        <w:t>12.5% as of May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operating lease right-of-use asset was $</w:t>
      </w:r>
      <w:bookmarkStart w:id="789" w:name="xdx_905_eus-gaap--OperatingLeaseRightOfU"/>
      <w:bookmarkEnd w:id="789"/>
      <w:r>
        <w:rPr>
          <w:rFonts w:ascii="Times New Roman;Times;Serif" w:hAnsi="Times New Roman;Times;Serif"/>
          <w:b w:val="false"/>
          <w:i w:val="false"/>
          <w:caps w:val="false"/>
          <w:smallCaps w:val="false"/>
          <w:sz w:val="20"/>
        </w:rPr>
        <w:t>157,444, and the operating lease liability of $</w:t>
      </w:r>
      <w:bookmarkStart w:id="790" w:name="xdx_907_eus-gaap--OperatingLeaseLiabilit"/>
      <w:bookmarkEnd w:id="790"/>
      <w:r>
        <w:rPr>
          <w:rFonts w:ascii="Times New Roman;Times;Serif" w:hAnsi="Times New Roman;Times;Serif"/>
          <w:b w:val="false"/>
          <w:i w:val="false"/>
          <w:caps w:val="false"/>
          <w:smallCaps w:val="false"/>
          <w:sz w:val="20"/>
        </w:rPr>
        <w:t>157,444 was classified as $</w:t>
      </w:r>
      <w:bookmarkStart w:id="791" w:name="xdx_90C_eus-gaap--OperatingLeaseLiabilit"/>
      <w:bookmarkEnd w:id="791"/>
      <w:r>
        <w:rPr>
          <w:rFonts w:ascii="Times New Roman;Times;Serif" w:hAnsi="Times New Roman;Times;Serif"/>
          <w:b w:val="false"/>
          <w:i w:val="false"/>
          <w:caps w:val="false"/>
          <w:smallCaps w:val="false"/>
          <w:sz w:val="20"/>
        </w:rPr>
        <w:t>90,527 current and $</w:t>
      </w:r>
      <w:bookmarkStart w:id="792" w:name="xdx_901_eus-gaap--OperatingLeaseLiabilit"/>
      <w:bookmarkEnd w:id="792"/>
      <w:r>
        <w:rPr>
          <w:rFonts w:ascii="Times New Roman;Times;Serif" w:hAnsi="Times New Roman;Times;Serif"/>
          <w:b w:val="false"/>
          <w:i w:val="false"/>
          <w:caps w:val="false"/>
          <w:smallCaps w:val="false"/>
          <w:sz w:val="20"/>
        </w:rPr>
        <w:t>66,917 non-current in the unaudited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93" w:name="xdx_898_eus-gaap--LesseeOperatingLeaseLi"/>
      <w:bookmarkEnd w:id="793"/>
      <w:r>
        <w:rPr>
          <w:rFonts w:ascii="Times New Roman;Times;Serif" w:hAnsi="Times New Roman;Times;Serif"/>
          <w:b w:val="false"/>
          <w:i w:val="false"/>
          <w:caps w:val="false"/>
          <w:smallCaps w:val="false"/>
          <w:sz w:val="20"/>
        </w:rPr>
        <w:t>Future operating lease payments as of June 30, 2026, were as follows:</w:t>
      </w:r>
    </w:p>
    <w:p>
      <w:pPr>
        <w:pStyle w:val="TextBody"/>
        <w:bidi w:val="0"/>
        <w:spacing w:before="0" w:after="0"/>
        <w:ind w:left="0" w:right="0" w:hanging="0"/>
        <w:jc w:val="both"/>
        <w:rPr>
          <w:caps w:val="false"/>
          <w:smallCaps w:val="false"/>
        </w:rPr>
      </w:pPr>
      <w:r>
        <w:rPr>
          <w:caps w:val="false"/>
          <w:smallCaps w:val="false"/>
        </w:rPr>
        <w:t> </w:t>
      </w:r>
      <w:bookmarkStart w:id="794" w:name="xdx_8BC_zReleLKE8kca"/>
      <w:bookmarkEnd w:id="794"/>
      <w:r>
        <w:rPr>
          <w:rFonts w:ascii="Times New Roman;Times;Serif" w:hAnsi="Times New Roman;Times;Serif"/>
          <w:b w:val="false"/>
          <w:i w:val="false"/>
          <w:caps w:val="false"/>
          <w:smallCaps w:val="false"/>
          <w:sz w:val="20"/>
        </w:rPr>
        <w:t>SCHEDULE OF OPERATING LEASE PAYMENTS</w:t>
      </w:r>
    </w:p>
    <w:tbl>
      <w:tblPr>
        <w:tblW w:w="4910" w:type="dxa"/>
        <w:jc w:val="left"/>
        <w:tblInd w:w="0" w:type="dxa"/>
        <w:tblLayout w:type="fixed"/>
        <w:tblCellMar>
          <w:top w:w="0" w:type="dxa"/>
          <w:left w:w="0" w:type="dxa"/>
          <w:bottom w:w="28" w:type="dxa"/>
          <w:right w:w="0" w:type="dxa"/>
        </w:tblCellMar>
      </w:tblPr>
      <w:tblGrid>
        <w:gridCol w:w="3800"/>
        <w:gridCol w:w="60"/>
        <w:gridCol w:w="140"/>
        <w:gridCol w:w="800"/>
        <w:gridCol w:w="110"/>
      </w:tblGrid>
      <w:tr>
        <w:trPr/>
        <w:tc>
          <w:tcPr>
            <w:tcW w:w="3800" w:type="dxa"/>
            <w:tcBorders>
              <w:bottom w:val="single" w:sz="8" w:space="0" w:color="000000"/>
            </w:tcBorders>
            <w:vAlign w:val="center"/>
          </w:tcPr>
          <w:p>
            <w:pPr>
              <w:pStyle w:val="TableContents"/>
              <w:bidi w:val="0"/>
              <w:spacing w:before="0" w:after="283"/>
              <w:jc w:val="left"/>
              <w:rPr>
                <w:b/>
              </w:rPr>
            </w:pPr>
            <w:r>
              <w:rPr>
                <w:b/>
              </w:rPr>
              <w:t>Year</w:t>
            </w:r>
          </w:p>
        </w:tc>
        <w:tc>
          <w:tcPr>
            <w:tcW w:w="60" w:type="dxa"/>
            <w:tcBorders/>
            <w:tcMar>
              <w:bottom w:w="0" w:type="dxa"/>
            </w:tcMar>
            <w:vAlign w:val="center"/>
          </w:tcPr>
          <w:p>
            <w:pPr>
              <w:pStyle w:val="TableContents"/>
              <w:bidi w:val="0"/>
              <w:spacing w:before="0" w:after="283"/>
              <w:jc w:val="left"/>
              <w:rPr/>
            </w:pPr>
            <w:r>
              <w:rPr/>
              <w:t> </w:t>
            </w:r>
            <w:bookmarkStart w:id="795" w:name="xdx_491_20260630_zFgVZSDpzjbl"/>
            <w:bookmarkEnd w:id="795"/>
          </w:p>
        </w:tc>
        <w:tc>
          <w:tcPr>
            <w:tcW w:w="940"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bookmarkStart w:id="796" w:name="xdx_402_eus-gaap--LesseeOperatingLeaseLi"/>
            <w:bookmarkEnd w:id="796"/>
          </w:p>
        </w:tc>
      </w:tr>
      <w:tr>
        <w:trPr/>
        <w:tc>
          <w:tcPr>
            <w:tcW w:w="3800" w:type="dxa"/>
            <w:tcBorders/>
            <w:shd w:fill="CCEEFF" w:val="clear"/>
            <w:tcMar>
              <w:bottom w:w="0" w:type="dxa"/>
            </w:tcMar>
            <w:vAlign w:val="center"/>
          </w:tcPr>
          <w:p>
            <w:pPr>
              <w:pStyle w:val="TableContents"/>
              <w:bidi w:val="0"/>
              <w:spacing w:before="0" w:after="283"/>
              <w:jc w:val="left"/>
              <w:rPr/>
            </w:pPr>
            <w:r>
              <w:rPr/>
              <w:t>Remainder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52,569</w:t>
            </w:r>
          </w:p>
        </w:tc>
        <w:tc>
          <w:tcPr>
            <w:tcW w:w="110" w:type="dxa"/>
            <w:tcBorders/>
            <w:shd w:fill="CCEEFF" w:val="clear"/>
            <w:tcMar>
              <w:bottom w:w="0" w:type="dxa"/>
            </w:tcMar>
            <w:vAlign w:val="center"/>
          </w:tcPr>
          <w:p>
            <w:pPr>
              <w:pStyle w:val="TableContents"/>
              <w:bidi w:val="0"/>
              <w:spacing w:before="0" w:after="283"/>
              <w:jc w:val="left"/>
              <w:rPr/>
            </w:pPr>
            <w:r>
              <w:rPr/>
              <w:t> </w:t>
            </w:r>
            <w:bookmarkStart w:id="797" w:name="xdx_40F_eus-gaap--LesseeOperatingLeaseLi"/>
            <w:bookmarkEnd w:id="797"/>
          </w:p>
        </w:tc>
      </w:tr>
      <w:tr>
        <w:trPr/>
        <w:tc>
          <w:tcPr>
            <w:tcW w:w="380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105,138</w:t>
            </w:r>
          </w:p>
        </w:tc>
        <w:tc>
          <w:tcPr>
            <w:tcW w:w="110" w:type="dxa"/>
            <w:tcBorders/>
            <w:shd w:fill="FFFFFF" w:val="clear"/>
            <w:tcMar>
              <w:bottom w:w="0" w:type="dxa"/>
            </w:tcMar>
            <w:vAlign w:val="center"/>
          </w:tcPr>
          <w:p>
            <w:pPr>
              <w:pStyle w:val="TableContents"/>
              <w:bidi w:val="0"/>
              <w:spacing w:before="0" w:after="283"/>
              <w:jc w:val="left"/>
              <w:rPr/>
            </w:pPr>
            <w:r>
              <w:rPr/>
              <w:t> </w:t>
            </w:r>
            <w:bookmarkStart w:id="798" w:name="xdx_406_eus-gaap--LesseeOperatingLeaseLi"/>
            <w:bookmarkEnd w:id="798"/>
          </w:p>
        </w:tc>
      </w:tr>
      <w:tr>
        <w:trPr/>
        <w:tc>
          <w:tcPr>
            <w:tcW w:w="380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17,523</w:t>
            </w:r>
          </w:p>
        </w:tc>
        <w:tc>
          <w:tcPr>
            <w:tcW w:w="110" w:type="dxa"/>
            <w:tcBorders/>
            <w:shd w:fill="CCEEFF" w:val="clear"/>
            <w:tcMar>
              <w:bottom w:w="0" w:type="dxa"/>
            </w:tcMar>
            <w:vAlign w:val="center"/>
          </w:tcPr>
          <w:p>
            <w:pPr>
              <w:pStyle w:val="TableContents"/>
              <w:bidi w:val="0"/>
              <w:spacing w:before="0" w:after="283"/>
              <w:jc w:val="left"/>
              <w:rPr/>
            </w:pPr>
            <w:r>
              <w:rPr/>
              <w:t> </w:t>
            </w:r>
            <w:bookmarkStart w:id="799" w:name="xdx_407_eus-gaap--LesseeOperatingLeaseLi"/>
            <w:bookmarkEnd w:id="799"/>
          </w:p>
        </w:tc>
      </w:tr>
      <w:tr>
        <w:trPr/>
        <w:tc>
          <w:tcPr>
            <w:tcW w:w="3800" w:type="dxa"/>
            <w:tcBorders/>
            <w:shd w:fill="FFFFFF" w:val="clear"/>
            <w:tcMar>
              <w:bottom w:w="0" w:type="dxa"/>
            </w:tcMar>
            <w:vAlign w:val="center"/>
          </w:tcPr>
          <w:p>
            <w:pPr>
              <w:pStyle w:val="TableContents"/>
              <w:bidi w:val="0"/>
              <w:spacing w:before="0" w:after="283"/>
              <w:jc w:val="left"/>
              <w:rPr/>
            </w:pPr>
            <w:r>
              <w:rPr/>
              <w:t>Total future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175,230</w:t>
            </w:r>
          </w:p>
        </w:tc>
        <w:tc>
          <w:tcPr>
            <w:tcW w:w="110" w:type="dxa"/>
            <w:tcBorders/>
            <w:shd w:fill="FFFFFF" w:val="clear"/>
            <w:tcMar>
              <w:bottom w:w="0" w:type="dxa"/>
            </w:tcMar>
            <w:vAlign w:val="center"/>
          </w:tcPr>
          <w:p>
            <w:pPr>
              <w:pStyle w:val="TableContents"/>
              <w:bidi w:val="0"/>
              <w:spacing w:before="0" w:after="283"/>
              <w:jc w:val="left"/>
              <w:rPr/>
            </w:pPr>
            <w:r>
              <w:rPr/>
              <w:t> </w:t>
            </w:r>
            <w:bookmarkStart w:id="800" w:name="xdx_405_eus-gaap--LesseeOperatingLeaseLi"/>
            <w:bookmarkEnd w:id="800"/>
          </w:p>
        </w:tc>
      </w:tr>
      <w:tr>
        <w:trPr/>
        <w:tc>
          <w:tcPr>
            <w:tcW w:w="3800" w:type="dxa"/>
            <w:tcBorders/>
            <w:shd w:fill="CCEEFF" w:val="clear"/>
            <w:tcMar>
              <w:bottom w:w="0" w:type="dxa"/>
            </w:tcMar>
            <w:vAlign w:val="center"/>
          </w:tcPr>
          <w:p>
            <w:pPr>
              <w:pStyle w:val="TableContents"/>
              <w:bidi w:val="0"/>
              <w:spacing w:before="0" w:after="283"/>
              <w:jc w:val="left"/>
              <w:rPr/>
            </w:pPr>
            <w:r>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 </w:t>
            </w:r>
          </w:p>
        </w:tc>
        <w:tc>
          <w:tcPr>
            <w:tcW w:w="800" w:type="dxa"/>
            <w:tcBorders>
              <w:bottom w:val="double" w:sz="6" w:space="0" w:color="000000"/>
            </w:tcBorders>
            <w:shd w:fill="CCEEFF" w:val="clear"/>
            <w:vAlign w:val="center"/>
          </w:tcPr>
          <w:p>
            <w:pPr>
              <w:pStyle w:val="TableContents"/>
              <w:bidi w:val="0"/>
              <w:spacing w:before="0" w:after="283"/>
              <w:jc w:val="right"/>
              <w:rPr/>
            </w:pPr>
            <w:r>
              <w:rPr/>
              <w:t>(17,786</w:t>
            </w:r>
          </w:p>
        </w:tc>
        <w:tc>
          <w:tcPr>
            <w:tcW w:w="110" w:type="dxa"/>
            <w:tcBorders/>
            <w:shd w:fill="CCEEFF" w:val="clear"/>
            <w:tcMar>
              <w:bottom w:w="0" w:type="dxa"/>
            </w:tcMar>
            <w:vAlign w:val="center"/>
          </w:tcPr>
          <w:p>
            <w:pPr>
              <w:pStyle w:val="TableContents"/>
              <w:bidi w:val="0"/>
              <w:spacing w:before="0" w:after="283"/>
              <w:jc w:val="left"/>
              <w:rPr/>
            </w:pPr>
            <w:r>
              <w:rPr/>
              <w:t>)</w:t>
            </w:r>
            <w:bookmarkStart w:id="801" w:name="xdx_407_eus-gaap--OperatingLeaseLiabilit"/>
            <w:bookmarkEnd w:id="801"/>
          </w:p>
        </w:tc>
      </w:tr>
      <w:tr>
        <w:trPr/>
        <w:tc>
          <w:tcPr>
            <w:tcW w:w="3800" w:type="dxa"/>
            <w:tcBorders/>
            <w:shd w:fill="FFFFFF" w:val="clear"/>
            <w:tcMar>
              <w:bottom w:w="0" w:type="dxa"/>
            </w:tcMar>
            <w:vAlign w:val="center"/>
          </w:tcPr>
          <w:p>
            <w:pPr>
              <w:pStyle w:val="TableContents"/>
              <w:bidi w:val="0"/>
              <w:spacing w:before="0" w:after="283"/>
              <w:jc w:val="left"/>
              <w:rPr>
                <w:b/>
              </w:rPr>
            </w:pPr>
            <w:r>
              <w:rPr>
                <w:b/>
              </w:rPr>
              <w:t>Total operating lease liability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vAlign w:val="center"/>
          </w:tcPr>
          <w:p>
            <w:pPr>
              <w:pStyle w:val="TableContents"/>
              <w:bidi w:val="0"/>
              <w:spacing w:before="0" w:after="283"/>
              <w:jc w:val="right"/>
              <w:rPr>
                <w:b/>
              </w:rPr>
            </w:pPr>
            <w:r>
              <w:rPr>
                <w:b/>
              </w:rPr>
              <w:t>157,444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02" w:name="xdx_8A7_zFcHm7ioAYb6"/>
      <w:bookmarkEnd w:id="802"/>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803" w:name="xdx_800_ecustom--PromissoryNotesAndWrite"/>
      <w:bookmarkEnd w:id="803"/>
      <w:r>
        <w:rPr>
          <w:rFonts w:ascii="Times New Roman;Times;Serif" w:hAnsi="Times New Roman;Times;Serif"/>
          <w:b/>
          <w:i w:val="false"/>
          <w:caps/>
          <w:sz w:val="20"/>
        </w:rPr>
        <w:t xml:space="preserve">NOTE 15 – </w:t>
      </w:r>
      <w:bookmarkStart w:id="804" w:name="xdx_823_zRlv4LyaYdH9"/>
      <w:bookmarkEnd w:id="804"/>
      <w:r>
        <w:rPr>
          <w:rFonts w:ascii="Times New Roman;Times;Serif" w:hAnsi="Times New Roman;Times;Serif"/>
          <w:b/>
          <w:i w:val="false"/>
          <w:caps/>
          <w:sz w:val="20"/>
        </w:rPr>
        <w:t>PROMISSORY NOTES AND WRITE-OFFS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2024, Legacy Stardust Power entered into a promissory note arrangement with IGX Minerals LLC (“</w:t>
      </w:r>
      <w:r>
        <w:rPr>
          <w:rFonts w:ascii="Times New Roman;Times;Serif" w:hAnsi="Times New Roman;Times;Serif"/>
          <w:b/>
          <w:i w:val="false"/>
          <w:caps w:val="false"/>
          <w:smallCaps w:val="false"/>
          <w:sz w:val="20"/>
        </w:rPr>
        <w:t>IGX</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IGX Note</w:t>
      </w:r>
      <w:r>
        <w:rPr>
          <w:rFonts w:ascii="Times New Roman;Times;Serif" w:hAnsi="Times New Roman;Times;Serif"/>
          <w:b w:val="false"/>
          <w:i w:val="false"/>
          <w:caps w:val="false"/>
          <w:smallCaps w:val="false"/>
          <w:sz w:val="20"/>
        </w:rPr>
        <w:t>”) for $</w:t>
      </w:r>
      <w:bookmarkStart w:id="805" w:name="xdx_90C_eus-gaap--NotesPayable_iI_c20240"/>
      <w:bookmarkEnd w:id="805"/>
      <w:r>
        <w:rPr>
          <w:rFonts w:ascii="Times New Roman;Times;Serif" w:hAnsi="Times New Roman;Times;Serif"/>
          <w:b w:val="false"/>
          <w:i w:val="false"/>
          <w:caps w:val="false"/>
          <w:smallCaps w:val="false"/>
          <w:sz w:val="20"/>
        </w:rPr>
        <w:t>176,000. Both arrangements are described in the Company’s Form 10-K. During the three months ended June 30, 2025, the Company wrote off the promissory note balance, including interest, in the amount of $</w:t>
      </w:r>
      <w:bookmarkStart w:id="806" w:name="xdx_909_eus-gaap--ConvertibleNotesPayabl"/>
      <w:bookmarkEnd w:id="806"/>
      <w:r>
        <w:rPr>
          <w:rFonts w:ascii="Times New Roman;Times;Serif" w:hAnsi="Times New Roman;Times;Serif"/>
          <w:b w:val="false"/>
          <w:i w:val="false"/>
          <w:caps w:val="false"/>
          <w:smallCaps w:val="false"/>
          <w:sz w:val="20"/>
        </w:rPr>
        <w:t>182,481 as the note was deemed unrecoverable from IGX and the likelihood of entering into definitive agreements with IGX had diminished significantly. As a result, the Company recognized a loss of $</w:t>
      </w:r>
      <w:bookmarkStart w:id="807" w:name="xdx_905_eus-gaap--OtherNonrecurringIncom"/>
      <w:bookmarkEnd w:id="807"/>
      <w:r>
        <w:rPr>
          <w:rFonts w:ascii="Times New Roman;Times;Serif" w:hAnsi="Times New Roman;Times;Serif"/>
          <w:b w:val="false"/>
          <w:i w:val="false"/>
          <w:caps w:val="false"/>
          <w:smallCaps w:val="false"/>
          <w:sz w:val="20"/>
        </w:rPr>
        <w:t>182,481 in the Other Income/Expense section of the unaudited condensed consolidated statement of operations for the three and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2024, Legacy Stardust Power entered into a non-binding Letter of Intent with Usha Resources Ltd. (“</w:t>
      </w:r>
      <w:r>
        <w:rPr>
          <w:rFonts w:ascii="Times New Roman;Times;Serif" w:hAnsi="Times New Roman;Times;Serif"/>
          <w:b/>
          <w:i w:val="false"/>
          <w:caps w:val="false"/>
          <w:smallCaps w:val="false"/>
          <w:sz w:val="20"/>
        </w:rPr>
        <w:t>Usha Resources</w:t>
      </w:r>
      <w:r>
        <w:rPr>
          <w:rFonts w:ascii="Times New Roman;Times;Serif" w:hAnsi="Times New Roman;Times;Serif"/>
          <w:b w:val="false"/>
          <w:i w:val="false"/>
          <w:caps w:val="false"/>
          <w:smallCaps w:val="false"/>
          <w:sz w:val="20"/>
        </w:rPr>
        <w:t>”) to potentially acquire an interest in its Jackpot Lake lithium brine project, paying a non-refundable exclusivity payment of $</w:t>
      </w:r>
      <w:bookmarkStart w:id="808" w:name="xdx_903_ecustom--NonrefundableAdditional"/>
      <w:bookmarkEnd w:id="808"/>
      <w:r>
        <w:rPr>
          <w:rFonts w:ascii="Times New Roman;Times;Serif" w:hAnsi="Times New Roman;Times;Serif"/>
          <w:b w:val="false"/>
          <w:i w:val="false"/>
          <w:caps w:val="false"/>
          <w:smallCaps w:val="false"/>
          <w:sz w:val="20"/>
        </w:rPr>
        <w:t>25,000. A further non-refundable $</w:t>
      </w:r>
      <w:bookmarkStart w:id="809" w:name="xdx_90B_ecustom--NonrefundableAdditional"/>
      <w:bookmarkEnd w:id="809"/>
      <w:r>
        <w:rPr>
          <w:rFonts w:ascii="Times New Roman;Times;Serif" w:hAnsi="Times New Roman;Times;Serif"/>
          <w:b w:val="false"/>
          <w:i w:val="false"/>
          <w:caps w:val="false"/>
          <w:smallCaps w:val="false"/>
          <w:sz w:val="20"/>
        </w:rPr>
        <w:t>50,000 payment was made on May 14, 2024. Both arrangements are described in the Company’s Form 10-K. As of June 30, 2025, the Company determined that the likelihood of entering into definitive agreements with Usha Resources Ltd. had diminished significantly and wrote off the $</w:t>
      </w:r>
      <w:bookmarkStart w:id="810" w:name="xdx_90F_ecustom--NonrefundableAdditional"/>
      <w:bookmarkEnd w:id="810"/>
      <w:r>
        <w:rPr>
          <w:rFonts w:ascii="Times New Roman;Times;Serif" w:hAnsi="Times New Roman;Times;Serif"/>
          <w:b w:val="false"/>
          <w:i w:val="false"/>
          <w:caps w:val="false"/>
          <w:smallCaps w:val="false"/>
          <w:sz w:val="20"/>
        </w:rPr>
        <w:t>50,000 deposit balance. The Company recognized a loss of $</w:t>
      </w:r>
      <w:bookmarkStart w:id="811" w:name="xdx_90C_eus-gaap--OtherNonrecurringIncom"/>
      <w:bookmarkEnd w:id="811"/>
      <w:r>
        <w:rPr>
          <w:rFonts w:ascii="Times New Roman;Times;Serif" w:hAnsi="Times New Roman;Times;Serif"/>
          <w:b w:val="false"/>
          <w:i w:val="false"/>
          <w:caps w:val="false"/>
          <w:smallCaps w:val="false"/>
          <w:sz w:val="20"/>
        </w:rPr>
        <w:t>50,000 in the Other Income/Expense section of the unaudited condensed consolidated statement of operations for the three and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812" w:name="xdx_80C_eus-gaap--SubsequentEventsTextBl"/>
      <w:bookmarkEnd w:id="812"/>
      <w:r>
        <w:rPr>
          <w:rFonts w:ascii="Times New Roman;Times;Serif" w:hAnsi="Times New Roman;Times;Serif"/>
          <w:b/>
          <w:i w:val="false"/>
          <w:caps/>
          <w:sz w:val="20"/>
        </w:rPr>
        <w:t xml:space="preserve">NOTE 16 – </w:t>
      </w:r>
      <w:bookmarkStart w:id="813" w:name="xdx_820_zoWwwyYEl9qg"/>
      <w:bookmarkEnd w:id="813"/>
      <w:r>
        <w:rPr>
          <w:rFonts w:ascii="Times New Roman;Times;Serif" w:hAnsi="Times New Roman;Times;Serif"/>
          <w:b/>
          <w:i w:val="false"/>
          <w:caps/>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the date the unaudited condensed consolidated financial statements were available to be issued. Other than as disclosed above, there are no additional subsequent events that would have a material impact on the Company’s unaudited condensed consolidated financial statements.</w:t>
      </w:r>
    </w:p>
    <w:p>
      <w:pPr>
        <w:pStyle w:val="TextBody"/>
        <w:bidi w:val="0"/>
        <w:spacing w:before="0" w:after="0"/>
        <w:ind w:left="0" w:right="0" w:hanging="0"/>
        <w:jc w:val="both"/>
        <w:rPr>
          <w:caps w:val="false"/>
          <w:smallCaps w:val="false"/>
        </w:rPr>
      </w:pPr>
      <w:bookmarkStart w:id="814" w:name="xdx_810_z0uqJmBywPH9"/>
      <w:bookmarkEnd w:id="81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5" w:name="a_008"/>
      <w:bookmarkEnd w:id="815"/>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discussion and analysis of the financial condition and results of operations should be read together with our unaudited condensed consolidated financial statements and the related notes thereto contained elsewhere in this Quarterly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Company Overview and History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2024, Stardust Power Operating Inc. (f/k/a Stardust Power Inc. prior to the consummation of the Business Combination, or “</w:t>
      </w:r>
      <w:r>
        <w:rPr>
          <w:rFonts w:ascii="Times New Roman;Times;Serif" w:hAnsi="Times New Roman;Times;Serif"/>
          <w:b/>
          <w:i w:val="false"/>
          <w:caps w:val="false"/>
          <w:smallCaps w:val="false"/>
          <w:sz w:val="20"/>
        </w:rPr>
        <w:t>Legacy Stardust Power</w:t>
      </w:r>
      <w:r>
        <w:rPr>
          <w:rFonts w:ascii="Times New Roman;Times;Serif" w:hAnsi="Times New Roman;Times;Serif"/>
          <w:b w:val="false"/>
          <w:i w:val="false"/>
          <w:caps w:val="false"/>
          <w:smallCaps w:val="false"/>
          <w:sz w:val="20"/>
        </w:rPr>
        <w:t>”) consummated the business combination contemplated by the Business Combination Agreement, dated as of November 21, 2023 (as amended,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by and among Global Partner Acquisition Corp. II, a Cayman Islands exempted company (“</w:t>
      </w:r>
      <w:r>
        <w:rPr>
          <w:rFonts w:ascii="Times New Roman;Times;Serif" w:hAnsi="Times New Roman;Times;Serif"/>
          <w:b/>
          <w:i w:val="false"/>
          <w:caps w:val="false"/>
          <w:smallCaps w:val="false"/>
          <w:sz w:val="20"/>
        </w:rPr>
        <w:t>GPAC II</w:t>
      </w:r>
      <w:r>
        <w:rPr>
          <w:rFonts w:ascii="Times New Roman;Times;Serif" w:hAnsi="Times New Roman;Times;Serif"/>
          <w:b w:val="false"/>
          <w:i w:val="false"/>
          <w:caps w:val="false"/>
          <w:smallCaps w:val="false"/>
          <w:sz w:val="20"/>
        </w:rPr>
        <w:t>”), Strike Merger Sub I, Inc., a Delaware corporation and direct wholly owned subsidiary of GPAC II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Strike Merger Sub II, LLC, a Delaware limited liability company and a direct wholly owned subsidiary of GPAC II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and Legacy Stardust Power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Pursuant to the Business Combination Agreement, First Merger Sub merged into Legacy Stardust Power, with Legacy Stardust Power being the surviving corporation. Legacy Stardust Power then merged into Second Merger Sub, with Second Merger Sub being the surviving entity. Upon the completion of the Business Combination, GPAC II was renamed Stardust Power Inc. Unless the context otherwise requires, any reference in this Quarterly Report on Form 10-Q to the “Company,” “we,” “us,” “our,” or “Stardust Power” refers to Stardust Power Inc. and its consolidated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U.S.-based development stage battery grade lithium manufacturer designed to foster clean energy independence for the United States. We are in the process of creating capacity to manufacture battery grade lithium products, for a wide variety of applications, including energy storage systems, e-mobility, grid infrastructure, and data centers, by developing a large-scale lithium refinery in the United States. We seek to become a sustainable, cost effective supplier of battery grade lithium carbonate, by our innovative approach in the development of a large central refinery optimized for multiple inputs of lithium chloride in Oklahoma.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source lithium chloride feedstock from various suppliers and may make investments upstream to secure additional feedstock. We seek to sell our products to electric vehicle (“</w:t>
      </w:r>
      <w:r>
        <w:rPr>
          <w:rFonts w:ascii="Times New Roman;Times;Serif" w:hAnsi="Times New Roman;Times;Serif"/>
          <w:b/>
          <w:i w:val="false"/>
          <w:caps w:val="false"/>
          <w:smallCaps w:val="false"/>
          <w:sz w:val="20"/>
        </w:rPr>
        <w:t>EV</w:t>
      </w:r>
      <w:r>
        <w:rPr>
          <w:rFonts w:ascii="Times New Roman;Times;Serif" w:hAnsi="Times New Roman;Times;Serif"/>
          <w:b w:val="false"/>
          <w:i w:val="false"/>
          <w:caps w:val="false"/>
          <w:smallCaps w:val="false"/>
          <w:sz w:val="20"/>
        </w:rPr>
        <w:t>”) manufacturers as our primary market, with potential applications in other areas such as battery manufacturers, the U.S. military, and original equipment manufacturers (“</w:t>
      </w:r>
      <w:r>
        <w:rPr>
          <w:rFonts w:ascii="Times New Roman;Times;Serif" w:hAnsi="Times New Roman;Times;Serif"/>
          <w:b/>
          <w:i w:val="false"/>
          <w:caps w:val="false"/>
          <w:smallCaps w:val="false"/>
          <w:sz w:val="20"/>
        </w:rPr>
        <w:t>OEMs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key driving factors are the demand for battery grade lithium products, fueled largely by the demand for energy storage solutions, production of electric vehicles and automotive OEMs, and battery manufacturers seeking domestic supply options, leading to demand for minerals used in battery cells, such as lithium, governmental incentives for American manufacturing and evolving geopolitical climate that is creating a national security priority for the U.S.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we received an illustrative incentive analysis for up to $257 million in performance-based incentives from the State of Oklahoma and potential federal incentives, which also included potential eligibility for further federal grants. The state incentives were based on initial job creation, equipment procurement, training and recruitment incentives, property tax exemptions, sales tax exemptions, and capital expenditure projections submitted to the Oklahoma Department of Commerce in the first quarter of 2023 and could be subject to changes as we progress in setting up our planned lithium refinery in Muskogee, Oklahoma (the “</w:t>
      </w:r>
      <w:r>
        <w:rPr>
          <w:rFonts w:ascii="Times New Roman;Times;Serif" w:hAnsi="Times New Roman;Times;Serif"/>
          <w:b/>
          <w:i w:val="false"/>
          <w:caps w:val="false"/>
          <w:smallCaps w:val="false"/>
          <w:sz w:val="20"/>
        </w:rPr>
        <w:t>Facility</w:t>
      </w:r>
      <w:r>
        <w:rPr>
          <w:rFonts w:ascii="Times New Roman;Times;Serif" w:hAnsi="Times New Roman;Times;Serif"/>
          <w:b w:val="false"/>
          <w:i w:val="false"/>
          <w:caps w:val="false"/>
          <w:smallCaps w:val="false"/>
          <w:sz w:val="20"/>
        </w:rPr>
        <w:t>”) and commercial production of battery grade lithium in the future. These incentives may change based on the actual financial metrics of the Company in the future, which may be lower or higher.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well positioned to address these opportunities by emerging as a leading, fully integrated domestic lithium supplier, and contribute to restoring American energy independence, thereby bridging the gap in the domestic supply of battery grade lithium products.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Developments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Financing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2025, we entered into a Securities Purchase Agreement (the “</w:t>
      </w:r>
      <w:r>
        <w:rPr>
          <w:rFonts w:ascii="Times New Roman;Times;Serif" w:hAnsi="Times New Roman;Times;Serif"/>
          <w:b/>
          <w:i w:val="false"/>
          <w:caps w:val="false"/>
          <w:smallCaps w:val="false"/>
          <w:sz w:val="20"/>
        </w:rPr>
        <w:t>Lind Securities Purchase Agreement</w:t>
      </w:r>
      <w:r>
        <w:rPr>
          <w:rFonts w:ascii="Times New Roman;Times;Serif" w:hAnsi="Times New Roman;Times;Serif"/>
          <w:b w:val="false"/>
          <w:i w:val="false"/>
          <w:caps w:val="false"/>
          <w:smallCaps w:val="false"/>
          <w:sz w:val="20"/>
        </w:rPr>
        <w:t>”) with Lind Global Asset Management XIII LLC (“</w:t>
      </w:r>
      <w:r>
        <w:rPr>
          <w:rFonts w:ascii="Times New Roman;Times;Serif" w:hAnsi="Times New Roman;Times;Serif"/>
          <w:b/>
          <w:i w:val="false"/>
          <w:caps w:val="false"/>
          <w:smallCaps w:val="false"/>
          <w:sz w:val="20"/>
        </w:rPr>
        <w:t>Lind</w:t>
      </w:r>
      <w:r>
        <w:rPr>
          <w:rFonts w:ascii="Times New Roman;Times;Serif" w:hAnsi="Times New Roman;Times;Serif"/>
          <w:b w:val="false"/>
          <w:i w:val="false"/>
          <w:caps w:val="false"/>
          <w:smallCaps w:val="false"/>
          <w:sz w:val="20"/>
        </w:rPr>
        <w:t>”) providing for up to $15,000,000 in senior secured convertible debt financing. Simultaneously, we initially drew down gross proceeds of approximately $4,000,000 in exchange for issuance to Lind of a Senior Secured Convertible Promissory Note in the amount of $4,800,000 (the “</w:t>
      </w:r>
      <w:r>
        <w:rPr>
          <w:rFonts w:ascii="Times New Roman;Times;Serif" w:hAnsi="Times New Roman;Times;Serif"/>
          <w:b/>
          <w:i w:val="false"/>
          <w:caps w:val="false"/>
          <w:smallCaps w:val="false"/>
          <w:sz w:val="20"/>
        </w:rPr>
        <w:t>2025 Convertible Note</w:t>
      </w:r>
      <w:r>
        <w:rPr>
          <w:rFonts w:ascii="Times New Roman;Times;Serif" w:hAnsi="Times New Roman;Times;Serif"/>
          <w:b w:val="false"/>
          <w:i w:val="false"/>
          <w:caps w:val="false"/>
          <w:smallCaps w:val="false"/>
          <w:sz w:val="20"/>
        </w:rPr>
        <w:t>”) and a Common Stock Purchase Warrant for the purchase of approximately 411,245 shares (the “</w:t>
      </w:r>
      <w:r>
        <w:rPr>
          <w:rFonts w:ascii="Times New Roman;Times;Serif" w:hAnsi="Times New Roman;Times;Serif"/>
          <w:b/>
          <w:i w:val="false"/>
          <w:caps w:val="false"/>
          <w:smallCaps w:val="false"/>
          <w:sz w:val="20"/>
        </w:rPr>
        <w:t>2025 Lind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2026, we entered into a Common Stock Purchase Agreement (the “</w:t>
      </w:r>
      <w:r>
        <w:rPr>
          <w:rFonts w:ascii="Times New Roman;Times;Serif" w:hAnsi="Times New Roman;Times;Serif"/>
          <w:b/>
          <w:i w:val="false"/>
          <w:caps w:val="false"/>
          <w:smallCaps w:val="false"/>
          <w:sz w:val="20"/>
        </w:rPr>
        <w:t>B. Riley Purchase Agreement</w:t>
      </w:r>
      <w:r>
        <w:rPr>
          <w:rFonts w:ascii="Times New Roman;Times;Serif" w:hAnsi="Times New Roman;Times;Serif"/>
          <w:b w:val="false"/>
          <w:i w:val="false"/>
          <w:caps w:val="false"/>
          <w:smallCaps w:val="false"/>
          <w:sz w:val="20"/>
        </w:rPr>
        <w:t>”) and a Registration Rights Agreement (the “</w:t>
      </w:r>
      <w:r>
        <w:rPr>
          <w:rFonts w:ascii="Times New Roman;Times;Serif" w:hAnsi="Times New Roman;Times;Serif"/>
          <w:b/>
          <w:i w:val="false"/>
          <w:caps w:val="false"/>
          <w:smallCaps w:val="false"/>
          <w:sz w:val="20"/>
        </w:rPr>
        <w:t>B. Riley Registration Rights Agreement</w:t>
      </w:r>
      <w:r>
        <w:rPr>
          <w:rFonts w:ascii="Times New Roman;Times;Serif" w:hAnsi="Times New Roman;Times;Serif"/>
          <w:b w:val="false"/>
          <w:i w:val="false"/>
          <w:caps w:val="false"/>
          <w:smallCaps w:val="false"/>
          <w:sz w:val="20"/>
        </w:rPr>
        <w:t>”, and together with the B. Riley Purchase Agreement, the “</w:t>
      </w:r>
      <w:r>
        <w:rPr>
          <w:rFonts w:ascii="Times New Roman;Times;Serif" w:hAnsi="Times New Roman;Times;Serif"/>
          <w:b/>
          <w:i w:val="false"/>
          <w:caps w:val="false"/>
          <w:smallCaps w:val="false"/>
          <w:sz w:val="20"/>
        </w:rPr>
        <w:t>B. Riley Agreements</w:t>
      </w:r>
      <w:r>
        <w:rPr>
          <w:rFonts w:ascii="Times New Roman;Times;Serif" w:hAnsi="Times New Roman;Times;Serif"/>
          <w:b w:val="false"/>
          <w:i w:val="false"/>
          <w:caps w:val="false"/>
          <w:smallCaps w:val="false"/>
          <w:sz w:val="20"/>
        </w:rPr>
        <w:t>”) with B. Riley Principal Capital II, LLC (“</w:t>
      </w:r>
      <w:r>
        <w:rPr>
          <w:rFonts w:ascii="Times New Roman;Times;Serif" w:hAnsi="Times New Roman;Times;Serif"/>
          <w:b/>
          <w:i w:val="false"/>
          <w:caps w:val="false"/>
          <w:smallCaps w:val="false"/>
          <w:sz w:val="20"/>
        </w:rPr>
        <w:t>B. Riley Principal Capital II</w:t>
      </w:r>
      <w:r>
        <w:rPr>
          <w:rFonts w:ascii="Times New Roman;Times;Serif" w:hAnsi="Times New Roman;Times;Serif"/>
          <w:b w:val="false"/>
          <w:i w:val="false"/>
          <w:caps w:val="false"/>
          <w:smallCaps w:val="false"/>
          <w:sz w:val="20"/>
        </w:rPr>
        <w:t>”). Pursuant to the B. Riley Agreements, we have the right, in our sole discretion, to sell to B. Riley Principal Capital II, from time to time during the 36-month investment period, up to $10,000,000 of newly issued shares of our Common Stock (the “</w:t>
      </w:r>
      <w:r>
        <w:rPr>
          <w:rFonts w:ascii="Times New Roman;Times;Serif" w:hAnsi="Times New Roman;Times;Serif"/>
          <w:b/>
          <w:i w:val="false"/>
          <w:caps w:val="false"/>
          <w:smallCaps w:val="false"/>
          <w:sz w:val="20"/>
        </w:rPr>
        <w:t>Total Commitment</w:t>
      </w:r>
      <w:r>
        <w:rPr>
          <w:rFonts w:ascii="Times New Roman;Times;Serif" w:hAnsi="Times New Roman;Times;Serif"/>
          <w:b w:val="false"/>
          <w:i w:val="false"/>
          <w:caps w:val="false"/>
          <w:smallCaps w:val="false"/>
          <w:sz w:val="20"/>
        </w:rPr>
        <w:t>”), subject to an exchange cap and other conditions and limitations set forth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we entered into a Letter of Intent (the “</w:t>
      </w:r>
      <w:r>
        <w:rPr>
          <w:rFonts w:ascii="Times New Roman;Times;Serif" w:hAnsi="Times New Roman;Times;Serif"/>
          <w:b/>
          <w:i w:val="false"/>
          <w:caps w:val="false"/>
          <w:smallCaps w:val="false"/>
          <w:sz w:val="20"/>
        </w:rPr>
        <w:t>LOI</w:t>
      </w:r>
      <w:r>
        <w:rPr>
          <w:rFonts w:ascii="Times New Roman;Times;Serif" w:hAnsi="Times New Roman;Times;Serif"/>
          <w:b w:val="false"/>
          <w:i w:val="false"/>
          <w:caps w:val="false"/>
          <w:smallCaps w:val="false"/>
          <w:sz w:val="20"/>
        </w:rPr>
        <w:t>”) with a single institutional investor to support project level financing for our Facility. Under the terms of the LOI, the institutional investor has indicated its intent to invest up to $150 million at the project level, with flexibility across equity, debt, and hybrid financing structures. The agreement is non-binding and outlines a framework for a potential investment, including the ability to support the financing through syndication and direct capital participation. We and the investor have also agreed to proceed through customary due diligence and negotiation of definitive agreements, and any potential investment remains subject to satisfactory due diligence and the execution of definitive documentation and is not committed capital for purposes of liquidity or going concern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we entered into an At Market Issuance Sales Agreement (the “</w:t>
      </w:r>
      <w:r>
        <w:rPr>
          <w:rFonts w:ascii="Times New Roman;Times;Serif" w:hAnsi="Times New Roman;Times;Serif"/>
          <w:b/>
          <w:i w:val="false"/>
          <w:caps w:val="false"/>
          <w:smallCaps w:val="false"/>
          <w:sz w:val="20"/>
        </w:rPr>
        <w:t>Sales Agreement</w:t>
      </w:r>
      <w:r>
        <w:rPr>
          <w:rFonts w:ascii="Times New Roman;Times;Serif" w:hAnsi="Times New Roman;Times;Serif"/>
          <w:b w:val="false"/>
          <w:i w:val="false"/>
          <w:caps w:val="false"/>
          <w:smallCaps w:val="false"/>
          <w:sz w:val="20"/>
        </w:rPr>
        <w:t>”) with B. Riley Securities, Inc.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Pursuant to the terms of the Sales Agreement, we may sell from time to time through the Agent, shares of our Common Stock, par value $0.0001 per share, having an aggregate offering price of up to $5,000,000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We intend to use this facility to raise capital as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from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we were notified by the listing qualifications staff of Nasdaq that we did not satisfy the minimum $35 million market value of the listed securities requirement for 30 consecutive business days, as required under Nasdaq Listing Rule 5550(b)(2) for the Nasdaq Capital Market (the “</w:t>
      </w:r>
      <w:r>
        <w:rPr>
          <w:rFonts w:ascii="Times New Roman;Times;Serif" w:hAnsi="Times New Roman;Times;Serif"/>
          <w:b/>
          <w:i w:val="false"/>
          <w:caps w:val="false"/>
          <w:smallCaps w:val="false"/>
          <w:sz w:val="20"/>
        </w:rPr>
        <w:t>MVLS Requirement</w:t>
      </w:r>
      <w:r>
        <w:rPr>
          <w:rFonts w:ascii="Times New Roman;Times;Serif" w:hAnsi="Times New Roman;Times;Serif"/>
          <w:b w:val="false"/>
          <w:i w:val="false"/>
          <w:caps w:val="false"/>
          <w:smallCaps w:val="false"/>
          <w:sz w:val="20"/>
        </w:rPr>
        <w:t>”). Nasdaq also noted that we do not meet the requirements under Listing Rules 5550(b)(1) and 5550(b)(3). In accordance with Nasdaq rules, we have a period of 180 calendar days (or until October 21, 2026) to regain compliance with the MVLS Requirement. To the extent we seek to regain compliance through the MVLS Requirement, our market value of listed securities must close at $35 million or more for a minimum of 10 consecutive business days during the 180-day compliance period. The notification received has no immediate effect on the listing of our securities on The Nasdaq Capital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Supply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entered into a non-binding letter agreement with a strategic counterparty for the supply of 15,000 metric tons per annum of lithium carbonate equivalent in the form of lithium chloride. The initial contract term would span 12 years starting from the date on which first commercial shipment is received by us, with the option for us to renew for an additional six-year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Air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six months ended June 30, 2026, we received our air quality construction permit from the Oklahoma Department of Environmental Quality (“</w:t>
      </w:r>
      <w:r>
        <w:rPr>
          <w:rFonts w:ascii="Times New Roman;Times;Serif" w:hAnsi="Times New Roman;Times;Serif"/>
          <w:b/>
          <w:i w:val="false"/>
          <w:caps w:val="false"/>
          <w:smallCaps w:val="false"/>
          <w:sz w:val="20"/>
        </w:rPr>
        <w:t>ODEQ</w:t>
      </w:r>
      <w:r>
        <w:rPr>
          <w:rFonts w:ascii="Times New Roman;Times;Serif" w:hAnsi="Times New Roman;Times;Serif"/>
          <w:b w:val="false"/>
          <w:i w:val="false"/>
          <w:caps w:val="false"/>
          <w:smallCaps w:val="false"/>
          <w:sz w:val="20"/>
        </w:rPr>
        <w:t>”) for our lithium refinery in Muskogee, Oklahoma. This key milestone represents the final significant permit required for construction and commissioning, positioning us to advance one of the largest planned lithium refineries in the United States.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Reverse Stock Split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we filed a certificate of amendment to our Certificate of Incorporation with the Secretary of State of the State of Delaware to effectuate a 1-for-10 reverse stock split (the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of the outstanding shares of our common stock, par value $0.0001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Our stockholders previously approved the Reverse Stock Split at the Company’s annual meeting of stockholders held on June 9, 2025 and granted our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the authority to determine the exact split ratio and when to proceed with the Reverse Stock Split. The Reverse Stock Split became effective on September 8, 2025, and our Common Stock began trading on the Nasdaq on a Reverse Stock Split-adjusted basis on September 8, 2025 at market open. The Reverse Stock Split did not decrease the number of authorized shares of Common Stock and preferred stock or otherwise affect the par value of the Common Stock. No fractional shares were issued in connection with the Reverse Stock Split and any fractional shares resulting from the Reverse Stock Split were rounded down to the nearest whole share. Stockholders who were otherwise entitled to receive fractional shares as a result of the Reverse Stock Split were paid cash in lieu thereof. As a result of the Reverse Stock Split, shares of Common Stock, outstanding warrants, stock options, and restricted stock units were proportionately decreased (and the respective per share value and exercise prices, if applicable, were proportionately increased) (see Part I, Item 1, Note 2, Basis of Presentation and summary of significant accounting policies in the notes to unaudited condensed consolidated financial statements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Key Factors Affecting Our Performance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performance and future success depend on a number of factors that present significant opportunities for us but also pose risks and challenges, including competition from other lithium brine and other brine producers, changes to existing federal and state level incentive framework, changes in regulations, and other factors discussed under the section titled “Risk Factors” in our Form 10-K and in this Quarterly Report. We believe the factors described below are key to our success.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Commencing Commercial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development stage company, and we have purchased a site in Southside Industrial Park, Muskogee, Oklahoma to build the Facility (the “</w:t>
      </w:r>
      <w:r>
        <w:rPr>
          <w:rFonts w:ascii="Times New Roman;Times;Serif" w:hAnsi="Times New Roman;Times;Serif"/>
          <w:b/>
          <w:i w:val="false"/>
          <w:caps w:val="false"/>
          <w:smallCaps w:val="false"/>
          <w:sz w:val="20"/>
        </w:rPr>
        <w:t>Site</w:t>
      </w:r>
      <w:r>
        <w:rPr>
          <w:rFonts w:ascii="Times New Roman;Times;Serif" w:hAnsi="Times New Roman;Times;Serif"/>
          <w:b w:val="false"/>
          <w:i w:val="false"/>
          <w:caps w:val="false"/>
          <w:smallCaps w:val="false"/>
          <w:sz w:val="20"/>
        </w:rPr>
        <w:t>”). We have completed a number of required site assessments and technical studies, including the critical issue analysis, Phase I ESA, front-end loading (“</w:t>
      </w:r>
      <w:r>
        <w:rPr>
          <w:rFonts w:ascii="Times New Roman;Times;Serif" w:hAnsi="Times New Roman;Times;Serif"/>
          <w:b/>
          <w:i w:val="false"/>
          <w:caps w:val="false"/>
          <w:smallCaps w:val="false"/>
          <w:sz w:val="20"/>
        </w:rPr>
        <w:t>FEL</w:t>
      </w:r>
      <w:r>
        <w:rPr>
          <w:rFonts w:ascii="Times New Roman;Times;Serif" w:hAnsi="Times New Roman;Times;Serif"/>
          <w:b w:val="false"/>
          <w:i w:val="false"/>
          <w:caps w:val="false"/>
          <w:smallCaps w:val="false"/>
          <w:sz w:val="20"/>
        </w:rPr>
        <w:t>”) -1 study and FEL-3 study. Additional studies may be required as the project progresses.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required evaluation for certain federal, state, and local permits. State permitting focuses on air emissions, wastewater, and stormwater permits. Federal permitting focuses on possible cultural, biological, and natural resources and threatened/endangered species impacts. The key permitting agency for the project at the state level is the ODEQ. We have received from the ODEQ the general permit for stormwater discharges from Construction Activities, approval of its stormwater pollution prevention plan and air quality construction permit (“</w:t>
      </w:r>
      <w:r>
        <w:rPr>
          <w:rFonts w:ascii="Times New Roman;Times;Serif" w:hAnsi="Times New Roman;Times;Serif"/>
          <w:b/>
          <w:i w:val="false"/>
          <w:caps w:val="false"/>
          <w:smallCaps w:val="false"/>
          <w:sz w:val="20"/>
        </w:rPr>
        <w:t>Air Permit</w:t>
      </w:r>
      <w:r>
        <w:rPr>
          <w:rFonts w:ascii="Times New Roman;Times;Serif" w:hAnsi="Times New Roman;Times;Serif"/>
          <w:b w:val="false"/>
          <w:i w:val="false"/>
          <w:caps w:val="false"/>
          <w:smallCaps w:val="false"/>
          <w:sz w:val="20"/>
        </w:rPr>
        <w:t>”). Under current design plans, we do not expect to require a waste water permit for the Facility since no waste water is expected to be discharged.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a large central refinery in a phased approach. The first phase is the construction of a production line with up to 25,000 metric tons per annum. The second phase is to add a second production line with up to 25,000 tons per annum, to create a total capacity of up to 50,000 tons per annum.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technological innovation of our planned refinery is the ability for the Facility to refine different sources of lithium chloride inputs derived from lithium brines. The Facility is being designed to accept lithium chloride of a certain approved chemical composition. It is our intention that the Facility should be able to dilute and pre-treat feedstock as necessary, so that various lithium feedstock can be blended, in order to produce a consistent feedstock. Our strategy is to differentiate ourselves by screening for a broader set of contaminants, in comparison to other lithium refineries.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Partnership Ecosystem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will depend on whether we can execute and expand our ecosystem of commercial arrangements with additional suppliers of brine and executing agreements with them at favorable terms. The availability of brine for the purpose of extracting lithium is still in a nascent stage and we would require access to multiple sources as we start commercial production and grow our business. Our management team frequently evaluates current and future sources of supplies for reliability and geographic locations for logistics and cost efficiency. We would also have to maintain technology arrangements with existing strategic affiliations on whose patented and proprietary processes we depend on, as well as forge new technology affiliations as exploration, extraction and purification processes evolve, to obtain raw materials required to manufacture high-quality lithium suitable for consumption by the EV industry, and other potential usages. These affiliations should enable us to refine and sell battery grade lithium at competitive prices, which in turn helps secure the growth and profitability of our business operations in the long term.</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Adequate Capital Raise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refinery’s activities relating to producing battery grade lithium from brine and our ability to obtain relevant permits in a timely manner require significant capital investment and financing to fund the initial investment in all aspects of setting up the operations, and may subsequently be impacted by our operating losses, competition from substitute products and services from larger companies, protection of proprietary technology of our strategic partners, and dependence on key individuals.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condensed consolidated financial statements have been presented on the basis that we are a going concern, which contemplates the realization of assets and the satisfaction of liabilities in the normal course of business. We have not earned any revenue and have been operating at a loss since inception. We have an accumulated deficit and stockholders’ deficit. We believe that the cash on hand and additional investments available through issuance of new Common Stock will be inadequate to satisfy our working capital and capital expenditure requirements for at least the next twelve months. These conditions raise substantial doubt about our ability to continue as a going concern for one year from the issuance of these unaudited condensed consolidated financial statements. As a development stage company, we need to raise additional capital to realize our business objectives. Our long-term success and ability to continue as a going concern are dependent upon our ability to successfully raise additional capital or financing, or successfully enter into strategic partnerships. Until commercial production is achieved from our planned operations, we will continue to incur operating and investing net cash outflows associated with, among other things, maintaining and acquiring exploration properties and undertaking ongoing exploration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Limited Operating History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and there is limited historical financial information upon which to base an evaluation of our performance. Our business and financial condition must be considered in light of the uncertainties, risks, expenses, and difficulties frequently encountered by companies in their early stages of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Key Business Metrics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have yet to start the construction of our Facility and associated commercial production, we do not have financial information on key business metrics. We do not currently present any non-GAAP financial measures. However, based on our experience and industry knowledge, we expect the following would be key business metrics: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Raw Material Cost/ton</w:t>
            </w:r>
            <w:r>
              <w:rPr>
                <w:rFonts w:ascii="Times New Roman;Times;Serif" w:hAnsi="Times New Roman;Times;Serif"/>
                <w:b w:val="false"/>
                <w:i w:val="false"/>
                <w:caps w:val="false"/>
                <w:smallCaps w:val="false"/>
                <w:sz w:val="20"/>
              </w:rPr>
              <w:t>: This includes the input cost of lithium chloride for the plant. As this may be obtained from various sources, the weighted average cost will be calculated to arrive at the raw material cost per ton and reflects our ability to procure high-quality raw materials at an appropriate price. The weighted average method also helps in calculating the gross margin on a per-ton basis. The technology implemented and the efficiency of the operations are also reflected in the gross margin per ton.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Selling Price/ton</w:t>
            </w:r>
            <w:r>
              <w:rPr>
                <w:rFonts w:ascii="Times New Roman;Times;Serif" w:hAnsi="Times New Roman;Times;Serif"/>
                <w:b w:val="false"/>
                <w:i w:val="false"/>
                <w:caps w:val="false"/>
                <w:smallCaps w:val="false"/>
                <w:sz w:val="20"/>
              </w:rPr>
              <w:t>: This multiple is driven by the demand and supply of the lithium price as well as the efficient operations of the plant. The computation of the selling price may be based on the output sold per long-term contract, which is expected to have a floor and a cap, as well as the spot price on the date of placing a purchase order by the customer, with us and the customer sharing the difference between the floor and spot price.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Capex/ton</w:t>
            </w:r>
            <w:r>
              <w:rPr>
                <w:rFonts w:ascii="Times New Roman;Times;Serif" w:hAnsi="Times New Roman;Times;Serif"/>
                <w:b w:val="false"/>
                <w:i w:val="false"/>
                <w:caps w:val="false"/>
                <w:smallCaps w:val="false"/>
                <w:sz w:val="20"/>
              </w:rPr>
              <w:t>: This reflects the Capex incurred on a per-ton basis. It includes both direct and indirect costs. It also has contingency costs built in for any impact on Capex, to account for unforeseen events. The key is to optimize plant efficiency in long-term operations with the appropriate technology and set-up.</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Opex/ton</w:t>
            </w:r>
            <w:r>
              <w:rPr>
                <w:rFonts w:ascii="Times New Roman;Times;Serif" w:hAnsi="Times New Roman;Times;Serif"/>
                <w:b w:val="false"/>
                <w:i w:val="false"/>
                <w:caps w:val="false"/>
                <w:smallCaps w:val="false"/>
                <w:sz w:val="20"/>
              </w:rPr>
              <w:t xml:space="preserve">: This includes the ongoing expenses incurred from the day-to-day running of the operations. It helps in measuring how much profit a company makes on a dollar of sales after paying for variable costs of production, such as wages and raw materials, but before paying interest or tax. The lower multiple reflects the efficient functioning of the management.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Capacity Utilization</w:t>
            </w:r>
            <w:r>
              <w:rPr>
                <w:rFonts w:ascii="Times New Roman;Times;Serif" w:hAnsi="Times New Roman;Times;Serif"/>
                <w:b w:val="false"/>
                <w:i w:val="false"/>
                <w:caps w:val="false"/>
                <w:smallCaps w:val="false"/>
                <w:sz w:val="20"/>
              </w:rPr>
              <w:t xml:space="preserve">: This measures how much output a plant is producing, compared to its maximum potential output, which is dependent on two key factors: (a) design capacity, which impacts the operational efficiency of the plant, and (b) the plant’s downtime for its maintenance. Timely maintenance is also the key to running any efficient operations.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since we are yet to generate revenue, we do not currently utilize non-GAAP financial measures such as EBITDA or EBITDA margin. To the extent we introduce any non-GAAP financial measures in future periods, we will provide the disclosures required by Item 10(e) of Regulation S-K, including a reconciliation to the most directly comparable financial measure calculated in accordance with U.S. GAAP.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and Macroeconomic Conditions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financial condition has been, and we believe will continue to be, impacted by adverse and uncertain macroeconomic conditions and events, including higher inflation, higher interest rates, supply chain and logistics challenges, banking crises, fluctuations or volatility in capital markets, foreign exchange rate volatility, government shutdowns, changes in monetary policy, changes in trade policies, including tariffs and other trade restrictions or the threat of such actions, and rising geopolitical instability, including the conflicts in the Middle East and Ukraine, and the related volatility in the price of oil and other commodity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Components of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any revenue to date. We expect to generate a significant portion of our future revenue from the sale of battery grade lithium carbonate primarily to the energy storage system and EV markets. We expect to enter into long-term contracts (typically 10 years), driven by industry dynamics, with a pricing structure at cap and ceiling, and sharing of variable price between customers and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Cost of Goods Sold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sourced any raw material to date. We expect to source brine from lithium producing suppliers including the oil and gas industry as a byproduct of their exploration and extraction processes. We are in the process of negotiating with multiple suppliers for brine feedstock, including producers from the oil and gas industry. The length, tenure and pricing of these contracts will depend largely on the type of supply and are expected to vary from supplier to supplier.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General and administrative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consists of costs to maintain our daily operations and administer the business that are not directly attributable to generating revenue or cost of goods or raw material. These consist primarily of consulting services (including advisory services and administrative related services from contractors, consultants), professional services such as accounting advisory, statutory auditor fees, technical consultants, and business consulting, as well as personnel related expenses (including stock based compensation), legal and book-keeping services, insurance expenses (including director and officer’s insurance), investor relations activities and marketing expenses. We expect our general and administrative expenses will increase in absolute dollars over time as we continue to invest in setting up our Facility, hire additional employees, and subsequently invest in the growth of our business and incur costs associated with being a publicly traded company with respect to compliance with the regulations of the SEC and Nasdaq.</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Income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Interest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is comprised of interest earned on promissory notes. During the year ended December 31, 2024, we issued promissory notes of $176,000 and $316,000 to IGX Minerals LLC and IG Lithium LLC, respectively. These notes carried an interest rate of 6% with maturity dates of February 28, 2025, and July 1,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Interest expense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is currently comprised primarily of amortization of debt discount and issuance costs associated with the 2025 Convertible Note issued in December 2025 (see Note 8). Interest expense has also historically included interest on insurance premium financing with AFCO Insurance Premium Finance and on promissory notes issued under various Term Sheets, including notes with related parties (see Note 11). Both the insurance premium financing and the Term Sheet notes were fully repaid during fiscal year 2025 and no longer contribute to interest expense in the current period. Interest expense may also include interest charged by vendors on overdue invoices, when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charges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charges are comprised of costs incurred to enter into the B. Riley Purchase Agreement, issuing shares and the change in fair value of our make-whole provision related to the B. Riley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Change in fair value of sponsor earnout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sponsor earnout shares relates to movements in fair value of earnout shares issued to Global Partner Sponsor II, LLC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at the closing of the Business Combination, which have been classified as liability instruments in the unaudited condensed consolidated financial statements. The earnout liability is remeasured at each reporting period based on third party valuations carried out at period end. As at June 30, 2026 and December 31, 2025, we did not identify any indicators that a change in the fair value of the Sponsor Earnout Shares last measured as of March 31, 2025, would be material, and accordingly did not perform an updated Monte Carlo valuation as of either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 relates to movements in fair value of Public Warrants and Private Warrants (as defined in Note 6 of the Notes to Condensed Consolidated Financial Statements) which have been classified as liability instruments in the unaudited condensed consolidated financial statements, that need to be recorded in the unaudited condensed consolidated statement of operations for each reporting period, based on fair value at period 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Change in fair value of investment in equity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investment in equity securities relates to movements in fair value of investment in equity securities of strategic investments such as the investment in QX Resources Limited (“</w:t>
      </w:r>
      <w:r>
        <w:rPr>
          <w:rFonts w:ascii="Times New Roman;Times;Serif" w:hAnsi="Times New Roman;Times;Serif"/>
          <w:b/>
          <w:i w:val="false"/>
          <w:caps w:val="false"/>
          <w:smallCaps w:val="false"/>
          <w:sz w:val="20"/>
        </w:rPr>
        <w:t>QXR</w:t>
      </w:r>
      <w:r>
        <w:rPr>
          <w:rFonts w:ascii="Times New Roman;Times;Serif" w:hAnsi="Times New Roman;Times;Serif"/>
          <w:b w:val="false"/>
          <w:i w:val="false"/>
          <w:caps w:val="false"/>
          <w:smallCaps w:val="false"/>
          <w:sz w:val="20"/>
        </w:rPr>
        <w:t>”) and IRIS Metals Limited (“</w:t>
      </w:r>
      <w:r>
        <w:rPr>
          <w:rFonts w:ascii="Times New Roman;Times;Serif" w:hAnsi="Times New Roman;Times;Serif"/>
          <w:b/>
          <w:i w:val="false"/>
          <w:caps w:val="false"/>
          <w:smallCaps w:val="false"/>
          <w:sz w:val="20"/>
        </w:rPr>
        <w:t>Iris Metals</w:t>
      </w:r>
      <w:r>
        <w:rPr>
          <w:rFonts w:ascii="Times New Roman;Times;Serif" w:hAnsi="Times New Roman;Times;Serif"/>
          <w:b w:val="false"/>
          <w:i w:val="false"/>
          <w:caps w:val="false"/>
          <w:smallCaps w:val="false"/>
          <w:sz w:val="20"/>
        </w:rPr>
        <w:t>”), that need to be recorded in the unaudited condensed consolidated statements of operations for each reporting period, based on readily available quoted prices for such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Loss on sale of investments in equity securities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sale of investment in equity securities relates to realized loss on sale of investment in equity securities of IRIS Metals. The sale was made in response to evolving market conditions and liquidity needs.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Loss on write-off of promissory note and deposit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write-off of promissory note and deposit relates to the write-off of a promissory note and deposit made in connection with a previously contemplated strategic partnership with IGX and Usha Resources. The likelihood of entering into definitive agreements with them had diminished significantly during the quarter, and based on an updated assessment, these amounts were deemed uncollectible.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extinguishment of liability,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liability represents the loss recognized on the extinguishment of the 2025 Convertible Note balance due to payment of installment through issuance of shares, partially offset by gain on extinguishment of vendor payable balance.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Provision for 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constituted as a Delaware corporation and are subject to U.S. federal and state income taxes based on enacted rates, as adjusted for allowable credits, deductions, uncertain tax positions, changes in deferred tax assets and liabilities and changes in tax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Results of Operations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condensed statements of operations information for the periods indicated: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0"/>
        <w:gridCol w:w="60"/>
        <w:gridCol w:w="140"/>
        <w:gridCol w:w="1055"/>
        <w:gridCol w:w="95"/>
        <w:gridCol w:w="60"/>
        <w:gridCol w:w="140"/>
        <w:gridCol w:w="1055"/>
        <w:gridCol w:w="95"/>
        <w:gridCol w:w="60"/>
        <w:gridCol w:w="140"/>
        <w:gridCol w:w="875"/>
        <w:gridCol w:w="95"/>
        <w:gridCol w:w="60"/>
        <w:gridCol w:w="140"/>
        <w:gridCol w:w="1055"/>
        <w:gridCol w:w="95"/>
        <w:gridCol w:w="60"/>
        <w:gridCol w:w="140"/>
        <w:gridCol w:w="1055"/>
        <w:gridCol w:w="95"/>
        <w:gridCol w:w="60"/>
        <w:gridCol w:w="140"/>
        <w:gridCol w:w="1055"/>
        <w:gridCol w:w="110"/>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0" w:type="dxa"/>
            <w:gridSpan w:val="11"/>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38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Changes</w:t>
            </w:r>
          </w:p>
        </w:tc>
        <w:tc>
          <w:tcPr>
            <w:tcW w:w="110"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3,894,683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3,036,347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858,336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7,879,584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8,784,994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(905,410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(3,894,683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(3,036,347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(858,336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(7,879,584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(8,784,994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905,410</w:t>
            </w:r>
          </w:p>
        </w:tc>
        <w:tc>
          <w:tcPr>
            <w:tcW w:w="110"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b/>
              </w:rPr>
            </w:pPr>
            <w:r>
              <w:rPr>
                <w:b/>
              </w:rPr>
              <w:t>Other incomes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(4,729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(12,008</w:t>
            </w:r>
          </w:p>
        </w:tc>
        <w:tc>
          <w:tcPr>
            <w:tcW w:w="110" w:type="dxa"/>
            <w:tcBorders/>
            <w:shd w:fill="FFFFFF" w:val="clear"/>
            <w:vAlign w:val="center"/>
          </w:tcPr>
          <w:p>
            <w:pPr>
              <w:pStyle w:val="TableContents"/>
              <w:bidi w:val="0"/>
              <w:spacing w:before="0" w:after="283"/>
              <w:jc w:val="left"/>
              <w:rPr/>
            </w:pPr>
            <w:r>
              <w:rPr/>
              <w:t>)</w:t>
            </w:r>
          </w:p>
        </w:tc>
      </w:tr>
      <w:tr>
        <w:trPr/>
        <w:tc>
          <w:tcPr>
            <w:tcW w:w="227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(331,715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(273,623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(697,321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(165,933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(531,388</w:t>
            </w:r>
          </w:p>
        </w:tc>
        <w:tc>
          <w:tcPr>
            <w:tcW w:w="110" w:type="dxa"/>
            <w:tcBorders/>
            <w:shd w:fill="CCEEFF" w:val="clear"/>
            <w:vAlign w:val="center"/>
          </w:tcPr>
          <w:p>
            <w:pPr>
              <w:pStyle w:val="TableContents"/>
              <w:bidi w:val="0"/>
              <w:spacing w:before="0" w:after="283"/>
              <w:jc w:val="left"/>
              <w:rPr/>
            </w:pPr>
            <w:r>
              <w:rPr/>
              <w:t>)</w:t>
            </w:r>
          </w:p>
        </w:tc>
      </w:tr>
      <w:tr>
        <w:trPr/>
        <w:tc>
          <w:tcPr>
            <w:tcW w:w="2270" w:type="dxa"/>
            <w:tcBorders/>
            <w:shd w:fill="FFFFFF" w:val="clear"/>
            <w:vAlign w:val="center"/>
          </w:tcPr>
          <w:p>
            <w:pPr>
              <w:pStyle w:val="TableContents"/>
              <w:bidi w:val="0"/>
              <w:spacing w:before="0" w:after="283"/>
              <w:jc w:val="left"/>
              <w:rPr/>
            </w:pPr>
            <w:r>
              <w:rPr/>
              <w:t>Finance charge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(86,733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(66,036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(313,920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(219,120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(94,800</w:t>
            </w:r>
          </w:p>
        </w:tc>
        <w:tc>
          <w:tcPr>
            <w:tcW w:w="110" w:type="dxa"/>
            <w:tcBorders/>
            <w:shd w:fill="FFFFFF" w:val="clear"/>
            <w:vAlign w:val="center"/>
          </w:tcPr>
          <w:p>
            <w:pPr>
              <w:pStyle w:val="TableContents"/>
              <w:bidi w:val="0"/>
              <w:spacing w:before="0" w:after="283"/>
              <w:jc w:val="left"/>
              <w:rPr/>
            </w:pPr>
            <w:r>
              <w:rPr/>
              <w:t>)</w:t>
            </w:r>
          </w:p>
        </w:tc>
      </w:tr>
      <w:tr>
        <w:trPr/>
        <w:tc>
          <w:tcPr>
            <w:tcW w:w="2270" w:type="dxa"/>
            <w:tcBorders/>
            <w:shd w:fill="CCEEFF" w:val="clear"/>
            <w:vAlign w:val="center"/>
          </w:tcPr>
          <w:p>
            <w:pPr>
              <w:pStyle w:val="TableContents"/>
              <w:bidi w:val="0"/>
              <w:spacing w:before="0" w:after="283"/>
              <w:jc w:val="left"/>
              <w:rPr/>
            </w:pPr>
            <w:r>
              <w:rPr/>
              <w:t>Change in fair value of sponsor earn out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(528,000</w:t>
            </w:r>
          </w:p>
        </w:tc>
        <w:tc>
          <w:tcPr>
            <w:tcW w:w="110" w:type="dxa"/>
            <w:tcBorders/>
            <w:shd w:fill="CCEEFF" w:val="clear"/>
            <w:vAlign w:val="center"/>
          </w:tcPr>
          <w:p>
            <w:pPr>
              <w:pStyle w:val="TableContents"/>
              <w:bidi w:val="0"/>
              <w:spacing w:before="0" w:after="283"/>
              <w:jc w:val="left"/>
              <w:rPr/>
            </w:pPr>
            <w:r>
              <w:rPr/>
              <w:t>)</w:t>
            </w:r>
          </w:p>
        </w:tc>
      </w:tr>
      <w:tr>
        <w:trPr/>
        <w:tc>
          <w:tcPr>
            <w:tcW w:w="2270"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551,789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472,515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79,274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(115,782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2,171,692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(2,287,474</w:t>
            </w:r>
          </w:p>
        </w:tc>
        <w:tc>
          <w:tcPr>
            <w:tcW w:w="110" w:type="dxa"/>
            <w:tcBorders/>
            <w:shd w:fill="FFFFFF" w:val="clear"/>
            <w:vAlign w:val="center"/>
          </w:tcPr>
          <w:p>
            <w:pPr>
              <w:pStyle w:val="TableContents"/>
              <w:bidi w:val="0"/>
              <w:spacing w:before="0" w:after="283"/>
              <w:jc w:val="left"/>
              <w:rPr/>
            </w:pPr>
            <w:r>
              <w:rPr/>
              <w:t>)</w:t>
            </w:r>
          </w:p>
        </w:tc>
      </w:tr>
      <w:tr>
        <w:trPr/>
        <w:tc>
          <w:tcPr>
            <w:tcW w:w="2270" w:type="dxa"/>
            <w:tcBorders/>
            <w:shd w:fill="CCEEFF" w:val="clear"/>
            <w:vAlign w:val="center"/>
          </w:tcPr>
          <w:p>
            <w:pPr>
              <w:pStyle w:val="TableContents"/>
              <w:bidi w:val="0"/>
              <w:spacing w:before="0" w:after="283"/>
              <w:jc w:val="left"/>
              <w:rPr/>
            </w:pPr>
            <w:r>
              <w:rPr/>
              <w:t>Change in fair value of investment in equity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(14,173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(738,889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724,716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(728,134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719,562</w:t>
            </w:r>
          </w:p>
        </w:tc>
        <w:tc>
          <w:tcPr>
            <w:tcW w:w="110"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Loss on sale of investment in equity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(95,178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95,178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(95,178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95,178</w:t>
            </w:r>
          </w:p>
        </w:tc>
        <w:tc>
          <w:tcPr>
            <w:tcW w:w="110"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Loss on write-off of promissory note and deposit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(232,481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232,481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(232,481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232,481</w:t>
            </w:r>
          </w:p>
        </w:tc>
        <w:tc>
          <w:tcPr>
            <w:tcW w:w="110"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Loss on extinguishment of liability,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(127,381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(127,381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(122,409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(122,409</w:t>
            </w:r>
          </w:p>
        </w:tc>
        <w:tc>
          <w:tcPr>
            <w:tcW w:w="110" w:type="dxa"/>
            <w:tcBorders/>
            <w:shd w:fill="FFFFFF" w:val="clear"/>
            <w:vAlign w:val="center"/>
          </w:tcPr>
          <w:p>
            <w:pPr>
              <w:pStyle w:val="TableContents"/>
              <w:bidi w:val="0"/>
              <w:spacing w:before="0" w:after="283"/>
              <w:jc w:val="left"/>
              <w:rPr/>
            </w:pPr>
            <w:r>
              <w:rPr/>
              <w:t>)</w:t>
            </w:r>
          </w:p>
        </w:tc>
      </w:tr>
      <w:tr>
        <w:trPr/>
        <w:tc>
          <w:tcPr>
            <w:tcW w:w="2270" w:type="dxa"/>
            <w:tcBorders/>
            <w:shd w:fill="CCEEFF" w:val="clear"/>
            <w:vAlign w:val="center"/>
          </w:tcPr>
          <w:p>
            <w:pPr>
              <w:pStyle w:val="TableContents"/>
              <w:bidi w:val="0"/>
              <w:spacing w:before="0" w:after="283"/>
              <w:jc w:val="left"/>
              <w:rPr>
                <w:b/>
              </w:rPr>
            </w:pPr>
            <w:r>
              <w:rPr>
                <w:b/>
              </w:rPr>
              <w:t>Total other income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(8,211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(668,091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659,880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(1,258,002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1,270,856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(2,528,858</w:t>
            </w:r>
          </w:p>
        </w:tc>
        <w:tc>
          <w:tcPr>
            <w:tcW w:w="110" w:type="dxa"/>
            <w:tcBorders/>
            <w:shd w:fill="CCEEFF" w:val="clear"/>
            <w:vAlign w:val="center"/>
          </w:tcPr>
          <w:p>
            <w:pPr>
              <w:pStyle w:val="TableContents"/>
              <w:bidi w:val="0"/>
              <w:spacing w:before="0" w:after="283"/>
              <w:jc w:val="left"/>
              <w:rPr>
                <w:b/>
              </w:rPr>
            </w:pPr>
            <w:r>
              <w:rPr>
                <w:b/>
              </w:rPr>
              <w:t>)</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(3,902,894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(3,704,438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(198,456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(9,137,586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(7,514,138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(1,623,448</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Revenues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earned any revenue since inception.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manufacture any products, and hence did not incur any direct costs related to production or carrying inventory, since inception.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are primarily attributable to employee-related compensation expenses representing base salary, benefits and stock-based compensation expense, fees for professional and consulting fees, mainly comprising marketing advisory services, insurance costs, and other consulting and, legal services. The details of these expenses are as follows: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0"/>
        <w:gridCol w:w="60"/>
        <w:gridCol w:w="140"/>
        <w:gridCol w:w="980"/>
        <w:gridCol w:w="60"/>
        <w:gridCol w:w="60"/>
        <w:gridCol w:w="140"/>
        <w:gridCol w:w="980"/>
        <w:gridCol w:w="95"/>
        <w:gridCol w:w="60"/>
        <w:gridCol w:w="60"/>
        <w:gridCol w:w="980"/>
        <w:gridCol w:w="95"/>
        <w:gridCol w:w="60"/>
        <w:gridCol w:w="140"/>
        <w:gridCol w:w="980"/>
        <w:gridCol w:w="60"/>
        <w:gridCol w:w="60"/>
        <w:gridCol w:w="140"/>
        <w:gridCol w:w="980"/>
        <w:gridCol w:w="60"/>
        <w:gridCol w:w="60"/>
        <w:gridCol w:w="60"/>
        <w:gridCol w:w="1055"/>
        <w:gridCol w:w="110"/>
      </w:tblGrid>
      <w:tr>
        <w:trPr/>
        <w:tc>
          <w:tcPr>
            <w:tcW w:w="2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2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left"/>
              <w:rPr>
                <w:b/>
              </w:rPr>
            </w:pPr>
            <w:r>
              <w:rPr>
                <w:b/>
              </w:rPr>
              <w:t>Changes</w:t>
            </w:r>
          </w:p>
        </w:tc>
        <w:tc>
          <w:tcPr>
            <w:tcW w:w="110" w:type="dxa"/>
            <w:tcBorders/>
            <w:vAlign w:val="center"/>
          </w:tcPr>
          <w:p>
            <w:pPr>
              <w:pStyle w:val="TableContents"/>
              <w:bidi w:val="0"/>
              <w:spacing w:before="0" w:after="283"/>
              <w:jc w:val="left"/>
              <w:rPr/>
            </w:pPr>
            <w:r>
              <w:rPr/>
              <w:t> </w:t>
            </w:r>
          </w:p>
        </w:tc>
      </w:tr>
      <w:tr>
        <w:trPr/>
        <w:tc>
          <w:tcPr>
            <w:tcW w:w="2730" w:type="dxa"/>
            <w:tcBorders/>
            <w:shd w:fill="CCEEFF" w:val="clear"/>
            <w:vAlign w:val="center"/>
          </w:tcPr>
          <w:p>
            <w:pPr>
              <w:pStyle w:val="TableContents"/>
              <w:bidi w:val="0"/>
              <w:spacing w:before="0" w:after="283"/>
              <w:jc w:val="left"/>
              <w:rPr/>
            </w:pPr>
            <w:r>
              <w:rPr/>
              <w:t>Payroll and related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2,698,065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3,207,013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(508,948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5,466,803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6,763,660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(1,296,857</w:t>
            </w:r>
          </w:p>
        </w:tc>
        <w:tc>
          <w:tcPr>
            <w:tcW w:w="110" w:type="dxa"/>
            <w:tcBorders/>
            <w:shd w:fill="CCEEFF" w:val="clear"/>
            <w:vAlign w:val="center"/>
          </w:tcPr>
          <w:p>
            <w:pPr>
              <w:pStyle w:val="TableContents"/>
              <w:bidi w:val="0"/>
              <w:spacing w:before="0" w:after="283"/>
              <w:jc w:val="left"/>
              <w:rPr/>
            </w:pPr>
            <w:r>
              <w:rPr/>
              <w:t>)</w:t>
            </w:r>
          </w:p>
        </w:tc>
      </w:tr>
      <w:tr>
        <w:trPr/>
        <w:tc>
          <w:tcPr>
            <w:tcW w:w="2730" w:type="dxa"/>
            <w:tcBorders/>
            <w:shd w:fill="FFFFFF" w:val="clear"/>
            <w:vAlign w:val="center"/>
          </w:tcPr>
          <w:p>
            <w:pPr>
              <w:pStyle w:val="TableContents"/>
              <w:bidi w:val="0"/>
              <w:spacing w:before="0" w:after="283"/>
              <w:jc w:val="left"/>
              <w:rPr/>
            </w:pPr>
            <w:r>
              <w:rPr/>
              <w:t>Professional and consulting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428,324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(885,117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1,313,441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899,947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337,557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562,390</w:t>
            </w:r>
          </w:p>
        </w:tc>
        <w:tc>
          <w:tcPr>
            <w:tcW w:w="110" w:type="dxa"/>
            <w:tcBorders/>
            <w:shd w:fill="FFFFFF" w:val="clear"/>
            <w:vAlign w:val="center"/>
          </w:tcPr>
          <w:p>
            <w:pPr>
              <w:pStyle w:val="TableContents"/>
              <w:bidi w:val="0"/>
              <w:spacing w:before="0" w:after="283"/>
              <w:jc w:val="left"/>
              <w:rPr/>
            </w:pPr>
            <w:r>
              <w:rPr/>
              <w:t> </w:t>
            </w:r>
          </w:p>
        </w:tc>
      </w:tr>
      <w:tr>
        <w:trPr/>
        <w:tc>
          <w:tcPr>
            <w:tcW w:w="2730" w:type="dxa"/>
            <w:tcBorders/>
            <w:shd w:fill="CCEEFF" w:val="clear"/>
            <w:vAlign w:val="center"/>
          </w:tcPr>
          <w:p>
            <w:pPr>
              <w:pStyle w:val="TableContents"/>
              <w:bidi w:val="0"/>
              <w:spacing w:before="0" w:after="283"/>
              <w:jc w:val="left"/>
              <w:rPr/>
            </w:pPr>
            <w:r>
              <w:rPr/>
              <w:t>Legal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235,069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266,727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423,870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479,662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(55,792</w:t>
            </w:r>
          </w:p>
        </w:tc>
        <w:tc>
          <w:tcPr>
            <w:tcW w:w="110" w:type="dxa"/>
            <w:tcBorders/>
            <w:shd w:fill="CCEEFF" w:val="clear"/>
            <w:vAlign w:val="center"/>
          </w:tcPr>
          <w:p>
            <w:pPr>
              <w:pStyle w:val="TableContents"/>
              <w:bidi w:val="0"/>
              <w:spacing w:before="0" w:after="283"/>
              <w:jc w:val="left"/>
              <w:rPr/>
            </w:pPr>
            <w:r>
              <w:rPr/>
              <w:t>)</w:t>
            </w:r>
          </w:p>
        </w:tc>
      </w:tr>
      <w:tr>
        <w:trPr/>
        <w:tc>
          <w:tcPr>
            <w:tcW w:w="2730" w:type="dxa"/>
            <w:tcBorders/>
            <w:shd w:fill="FFFFFF" w:val="clear"/>
            <w:vAlign w:val="center"/>
          </w:tcPr>
          <w:p>
            <w:pPr>
              <w:pStyle w:val="TableContents"/>
              <w:bidi w:val="0"/>
              <w:spacing w:before="0" w:after="283"/>
              <w:jc w:val="left"/>
              <w:rPr/>
            </w:pPr>
            <w:r>
              <w:rPr/>
              <w:t>Insurance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124,927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146,418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(21,491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246,196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291,456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(45,260</w:t>
            </w:r>
          </w:p>
        </w:tc>
        <w:tc>
          <w:tcPr>
            <w:tcW w:w="110" w:type="dxa"/>
            <w:tcBorders/>
            <w:shd w:fill="FFFFFF" w:val="clear"/>
            <w:vAlign w:val="center"/>
          </w:tcPr>
          <w:p>
            <w:pPr>
              <w:pStyle w:val="TableContents"/>
              <w:bidi w:val="0"/>
              <w:spacing w:before="0" w:after="283"/>
              <w:jc w:val="left"/>
              <w:rPr/>
            </w:pPr>
            <w:r>
              <w:rPr/>
              <w:t>)</w:t>
            </w:r>
          </w:p>
        </w:tc>
      </w:tr>
      <w:tr>
        <w:trPr/>
        <w:tc>
          <w:tcPr>
            <w:tcW w:w="273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408,298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301,306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106,992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842,768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912,659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(69,891</w:t>
            </w:r>
          </w:p>
        </w:tc>
        <w:tc>
          <w:tcPr>
            <w:tcW w:w="110" w:type="dxa"/>
            <w:tcBorders/>
            <w:shd w:fill="CCEEFF" w:val="clear"/>
            <w:vAlign w:val="center"/>
          </w:tcPr>
          <w:p>
            <w:pPr>
              <w:pStyle w:val="TableContents"/>
              <w:bidi w:val="0"/>
              <w:spacing w:before="0" w:after="283"/>
              <w:jc w:val="left"/>
              <w:rPr/>
            </w:pPr>
            <w:r>
              <w:rPr/>
              <w:t>)</w:t>
            </w:r>
          </w:p>
        </w:tc>
      </w:tr>
      <w:tr>
        <w:trPr/>
        <w:tc>
          <w:tcPr>
            <w:tcW w:w="273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3,894,683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3,036,347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858,336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7,879,584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8,784,994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(905,410</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general and administrative expenses increased compared to the three months ended June 30, 2025, primarily due to an increase in Professional and consulting fees mainly driven by reversal of stock-based compensation of a consultant due to forfeiture during the three months ended June 30, 2025, which did not occur in the current quarter. The increase was partially offset by lower employee-related costs driven by a decrease in stock-based compensation expense of employees, a decrease in legal fees due to the appointment of in-house general counsel and reduced SEC filings during the three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general and administrative expenses decreased compared to the six months ended June 30, 2025, primarily due to lower employee related costs driven by a decrease in stock-based compensation expense of employees, a decrease in legal fees due to appointment of in house general counsel and a decrease in legal services for SEC filings during six months ended June 30, 2026. The decrease was partially offset by an increase in professional and consulting fees primarily driven by reversal of stock-based compensation of a consultant due to forfeiture during the six months ended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interest income was de minimis, compared to interest income of $4,731 and $12,010 for the same periods in 2025, respectively. The decrease is attributable to interest income earned in the prior year period on promissory notes issued in fiscal year 2024. These promissory notes, including accrued interest, were written off in fiscal year 2025 as the notes were deemed unrecoverable.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Interest expense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six months ended June 30, 2026, interest expenses increased by $273,623 and $531,388, respectively, compared to the three and six months ended June 30, 2025. The increase was primarily due to interest </w:t>
      </w:r>
      <w:r>
        <w:rPr>
          <w:rFonts w:ascii="Times New Roman;Times;Serif" w:hAnsi="Times New Roman;Times;Serif"/>
          <w:b w:val="false"/>
          <w:i w:val="false"/>
          <w:caps w:val="false"/>
          <w:smallCaps w:val="false"/>
          <w:sz w:val="20"/>
          <w:shd w:fill="FFFFFF" w:val="clear"/>
        </w:rPr>
        <w:t xml:space="preserve">accretion related to convertible notes issued in December 2025, interest charged by vendors on outstanding overdue invoices, partially offset by decreases in interest expense incurred on the financing agreement for our purchase of directors’ and officers’ and other insurance policies and interest expense on other short-term loans with various lenders.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finance charges of $66,036 and $94,800 for the three and six months ended June 30, 2026, compared to the three and six months ended June 30, 2025, was due to the cost incurred to enter into the B. Riley Purchase Agreement and increase in cost of the issuance of shares under the B. Riley Purchase Agreement, partially offset by a change in fair value of our make-whole provision related to the Prior B. Riley Agreements entered into on October 7, 2024 with B. Riley Principal Capital II.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Change in fair value of sponsor earnout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income from the change in fair value of earnout shares by $528,000 for the six months ended June 30, 2026, compared to the six months ended June 30, 2025, was related to movements in fair value of earnout shares issued to the Sponsor, primarily driven by a decrease in quoted market price, which have been classified as liability instruments in the unaudited condensed consolidated financial statements. The fair value adjustment is recorded in the unaudited condensed consolidated statement of operations for each reporting period, based on third party valuations carried out at period 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 liability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income by $79,274 for the three months ended June 30, 2026, and decrease in income by $2,287,474 for the six months ended June 30, 2026 from change in fair value of warrant liability, compared to the three and six months ended June 30, 2025, respectively, was related to movements in fair value of Public and Private Warrants, which have been classified as liability instruments in the unaudited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Change in fair value of investment in equity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change in fair value of investment in equity securities increased by $724,716 and $719,562, respectively, compared to the three and six months ended June 30, 2025, primarily due to fluctuations in the fair value of investments in QXR and IRIS Metals, based on readily available quoted market prices for these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Loss on sale of investments in equity securities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2025, the Company recorded a loss of $95,178 in connection with the sale of investment in equity securities. These securities were originally acquired as part of a broader investment strategy but were sold during the quarter ended June 30, 2026 in response to evolving market conditions and liquidity needs. The loss reflects the decline in market value relative to the carrying amount at the time of sale. The Company did not sell any investment in equity securities during the three and six months ended June 30, 2026.</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Loss on write-off of promissory note and deposit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2025, the Company recorded a loss of $182,481 and $50,000 related to the write-off of a promissory note and deposit associated with a previously contemplated strategic partnership with IGX and Usha Resources, respectively. The arrangement was terminated during the quarter, and based on an updated assessment these amounts were deemed uncollectible. Accordingly, the full balance was written off and recognized as a non-operating loss. No such write off was noted during the three and six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extinguishment of liability,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we recognized a loss on extinguishment of liability of $127,381 and $122,409, respectively, on settlement of the 2025 Convertible Note monthly installment through issuance of Repayment Shares. The loss reflects the difference between the installment amount and the fair value of the Repayment Shares as of the date of issuance. This is partially offset by credit received against a vendor payable balance. For the three and six months ended June 30, 2025, there was no loss or gain recognized on extinguishment of liability.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expenses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and 2025 the tax expense is nil, due to net losses incurred during these periods. We do not carry any deferred tax assets on the unaudited condensed consolidated balance sheet as at June 30, 2026 and the audited condensed consolidated balance sheet as at December 31, 2025, primarily due to net operating loss carry forwards resulting from historically incurred net operating losses and full valuations allowance of those losses, as our ability to realize future tax benefits related to these assets is largely dependent upon operational profitability, which is uncertain. As a result of this uncertainty, we have established a full valuation allowance, and have not recognized a net provision or benefit for income taxes in the periods reported.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Net loss </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we incurred a net loss of $3,902,894 and $9,137,586 respectively, and for the three and six months ended June 30, 2025, we incurred a net loss of $3,704,438 and $ 7,514,138 respectively. Since we have yet to start commercial production of battery-grade lithium, our operating expenses are expected to increase as we continue to recruit more personnel to perform general operational tasks, setting up the Facility and execute supply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devoted substantial efforts and financial resources to raising capital and organizing and staffing the Company, and as a result, have incurred significant operating losses. As of June 30, 2026, and December 31, 2025, we had an accumulated deficit of $77,480,170 and $68,342,584,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earned any revenue and have been operating at a loss since inception. We have an accumulated deficit and stockholders’ deficit.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Liquidity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requirements for liquidity and capital are investment in new facilities, new technologies, working capital and general corporate needs. Specifically, in this regard, the total refinery cost, which includes all direct and indirect costs and contingencies needed to build phase 1 of the refinery, (25,000 metric tons per annum of battery grade lithium carbonate), has been estimated at approximately $500 million following completion of the FEL-3 study. We intend to finance our project cost through a mix of debt, equity and potential government grants. We expect our operational expenditures to increase for the foreseeable future in connection with ongoing and future activities. Specifically, expenditures will increase as we:</w:t>
      </w:r>
    </w:p>
    <w:p>
      <w:pPr>
        <w:pStyle w:val="TextBody"/>
        <w:bidi w:val="0"/>
        <w:spacing w:before="0" w:after="0"/>
        <w:ind w:left="0" w:right="0" w:firstLine="360"/>
        <w:jc w:val="both"/>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75"/>
        <w:gridCol w:w="170"/>
        <w:gridCol w:w="80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and build facilities;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 in research and development activities to advance the development of our technologies;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expenses associated with operating as, a public company.</w:t>
            </w:r>
          </w:p>
        </w:tc>
      </w:tr>
    </w:tbl>
    <w:p>
      <w:pPr>
        <w:pStyle w:val="TextBody"/>
        <w:bidi w:val="0"/>
        <w:spacing w:before="0" w:after="0"/>
        <w:ind w:left="121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ongoing liquidity requirements will depend on many factors, including: our launch cadence, the timing and extent of spending to support additional development efforts, the introduction of new and enhanced offerings, the expected market adoption of our offerings, and the timing and extent of additional capital expenditures to build and invest in the development of our Facility. In addition, we may, in the future, enter into arrangements to acquire or invest in complementary businesses, business offerings and technologies. However, we do not have agreements or commitments to enter into any such acquisitions or investments at this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Sources of Liquidity and Going Concern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funded our operations with proceeds from sales of Legacy Stardust Power Common Stock, promissory notes, simple agreements for future equity notes (“</w:t>
      </w:r>
      <w:r>
        <w:rPr>
          <w:rFonts w:ascii="Times New Roman;Times;Serif" w:hAnsi="Times New Roman;Times;Serif"/>
          <w:b/>
          <w:i w:val="false"/>
          <w:caps w:val="false"/>
          <w:smallCaps w:val="false"/>
          <w:sz w:val="20"/>
        </w:rPr>
        <w:t>SAFE notes</w:t>
      </w:r>
      <w:r>
        <w:rPr>
          <w:rFonts w:ascii="Times New Roman;Times;Serif" w:hAnsi="Times New Roman;Times;Serif"/>
          <w:b w:val="false"/>
          <w:i w:val="false"/>
          <w:caps w:val="false"/>
          <w:smallCaps w:val="false"/>
          <w:sz w:val="20"/>
        </w:rPr>
        <w:t>”), debt financing, equity financing and convertible equity agreements. To continue as a going concern, we anticipate funding our near-term operations through the sale of equity securities, promissory notes, debt financing or from other capital sources. If adequate funds are not available, we may be required to curtail, delay, or eliminate some or all of our planned activities, or raise additional financing to continue to fund operations, and may not be able to continue as a going concern.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condensed consolidated financial statements have been presented on the basis that we are a going concern, which contemplates the realization of assets and the satisfaction of liabilities in the normal course of business. We are a development stage entity with no revenues, and have accumulated deficit of $77,480,170 and stockholders’ deficit of $8,240,860 as at June 30, 2026. We expect to continue to incur significant costs in pursuit of its operating and investment plans. These costs exceed our existing cash balance and net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2025, we entered into the Lind Securities Purchase Agreement with Lind providing for up to $15,000,000 in senior secured convertible debt financing. Simultaneously, we initially drew down gross proceeds of approximately $4,000,000 in exchange for the issuance to Lind of a Senior Secured Convertible Promissory Note in the amount of $4,800,000 and a 2025 Lind Warrant, for the purchase of approximately 411,245 shares. After deducting a commitment fee of $100,000 and other transaction-related costs, we received net cash proceeds of approximately $3,792,500.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2026, we entered into the B. Riley Purchase Agreement and the B. Riley Registration Rights Agreement. Upon the terms and subject to the satisfaction of the conditions set forth in the B. Riley Purchase Agreement, we will have the right, in our sole discretion, to sell up to $10,000,000 of Common Stock to B. Riley Principal Capital II, subject to certain conditions and limitations contained in the B. Riley Purchase Agreement, from time to time during the term of the B. Riley Purchase Agreement. Sales of Common Stock pursuant to the B. Riley Purchase Agreement, and the timing of any sales, are solely at our option. We are under no obligation to sell any securities to B. Riley Principal Capital II under the B. Riley Purchase Agreement. As of the date of this filing, we have issued 505,866 shares of Common Stock aggregating to net proceeds of $1,310,904 under this arrangement.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we entered into an At Market Issuance Sales Agreement (the “</w:t>
            </w:r>
            <w:r>
              <w:rPr>
                <w:rFonts w:ascii="Times New Roman;Times;Serif" w:hAnsi="Times New Roman;Times;Serif"/>
                <w:b/>
                <w:i w:val="false"/>
                <w:caps w:val="false"/>
                <w:smallCaps w:val="false"/>
                <w:sz w:val="20"/>
              </w:rPr>
              <w:t>Sales Agreement</w:t>
            </w:r>
            <w:r>
              <w:rPr>
                <w:rFonts w:ascii="Times New Roman;Times;Serif" w:hAnsi="Times New Roman;Times;Serif"/>
                <w:b w:val="false"/>
                <w:i w:val="false"/>
                <w:caps w:val="false"/>
                <w:smallCaps w:val="false"/>
                <w:sz w:val="20"/>
              </w:rPr>
              <w:t>”) with B. Riley Securities, Inc.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Pursuant to the terms of the Sales Agreement, we may sell from time to time through the Agent, shares of our Common Stock, par value $0.0001 per share, having an aggregate offering price of up to $5,000,000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We intend to use this facility to raise capital as needed. As of the date of this filing, we have issued 2,159,867 shares of Common Stock aggregating to net proceeds of $3,112,021 under this arrangement.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cash on hand, and additional investments available through issuance of new Common Stock, will be inadequate to satisfy our working capital and capital expenditure requirements for at least the next twelve months. Our ability to continue as a going concern is dependent upon management’s plan to raise additional capital from the issuance of equity or to obtain additional borrowings to fund our operating and investing activities over the next year. The accompanying unaudited condensed consolidated financial statements do not include any adjustments to the recoverability and classification of recorded asset amounts and classification of liabilities that might be necessary if we are unable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any future financing will be available or, if available, that it will be on terms that are satisfactory to us. Even if we are able to obtain additional financing, it may contain undue restrictions on our operations, in the case of debt financing, or cause substantial dilution for our stockholders, in the case of equity financing. Failure to secure adequate financing could have a material adverse effect on our business, operations and financial performance.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Insurance funding borrowing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2025, we entered into a financing agreement of $407,500 for the purchase of an insurance policy with AFCO Insurance Premium Finance. The debt is payable in monthly installments through June 2026 and bears an interest rate of 7.5%. As at June 30, 2026, the loan was fully repaid. The carrying amount of Nil and $205,403 is included as Short-term Loan on the accompanying unaudited condensed consolidated balance sheet as on June 30, 2026, and audited consolidated balance sheet as on December 31,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three months ended June 30, 2026, we entered into a financing agreement of $493,532 for the purchase of an insurance policy with AFCO Insurance Premium Finance. We made a downpayment of $172,736, which was applied to the loan amount at the time of the loan agreement. The debt is payable in 7 monthly installments of $47,189 per month and bears an interest rate of 6.99%.</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short-term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short-term loans with Endurance Antarctica Partners II, LLC and under the Term Sheets (including DRE Chicago LLC, a related party) are described in Note 11, Related Party Transactions, included elsewhere in this quarterly report and described in greater detail in Note 7 to our Form 10-K. Both arrangements were fully repaid, together with accrued interest, as of December 31, 2025, and carried no balance as of June 30, 2026. The Company recognized interest expense of $103,938 towards other short-term loans on the accompanying unaudited condensed consolidated statements of operations for the six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Flow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Summary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periods presented:</w:t>
      </w:r>
    </w:p>
    <w:p>
      <w:pPr>
        <w:pStyle w:val="TextBody"/>
        <w:bidi w:val="0"/>
        <w:spacing w:before="0" w:after="0"/>
        <w:ind w:left="0" w:right="0" w:hanging="0"/>
        <w:jc w:val="center"/>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90"/>
        <w:gridCol w:w="60"/>
        <w:gridCol w:w="64"/>
        <w:gridCol w:w="1125"/>
        <w:gridCol w:w="95"/>
        <w:gridCol w:w="60"/>
        <w:gridCol w:w="64"/>
        <w:gridCol w:w="1125"/>
        <w:gridCol w:w="95"/>
        <w:gridCol w:w="60"/>
        <w:gridCol w:w="60"/>
        <w:gridCol w:w="1055"/>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(4,002,652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(4,490,450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487,798</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(194,312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(2,217,068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2,022,756</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1,257,077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8,401,694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(7,144,617</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change in cash</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(2,939,887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1,694,176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(4,634,063</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Cash Flows Used in Operating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in operating activities was $4,002,652 consisting of a $9,137,586 net loss, adjusted for an aggregate of $3,968,080 in non-cash charges for stock based compensation, non-cash marketing expense for stock issued to vendor, amortization of 2025 Convertible Note discount and issuance costs, change in fair value of investments, warrant liability, common stock issued for make-whole obligation, loss on extinguishment of debt, deferred transaction cost expenses, and depreciation and a $1,166,854 net positive change in operating assets and liabilities, primarily driven by a decrease of $12,701 in prepaid expense and other assets and by an increase of $1,169,963 in accounts payable and other current liabilities which represent the various costs that are expected to be incurred as we set up operations during this period, partially offset by decrease of $15,810 in operating lease right-of-use asset and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used in operating activities was $4,490,450 consisting of a $7,514,138 net loss, adjusted for $2,983,759 non-cash charge for stock based compensation, change in fair value of investments, warrant liability, sponsor earnout shares, common stock make-whole obligation, loss on sale of investments, loss on write off of deferred transaction cost, promissory note and deposits and depreciation and a $39,929 net change in operating assets and liabilities, primarily driven by a decrease of $239,723 in prepaid expenses and other assets partially offset by a decrease of $199,794 in accounts payable and other current liabilities which represent the various costs that are expected to be incurred as we set up operations during this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Cash Flows Used in Investing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in investing activities was $194,312, primarily representing $175,644 on account of capital project costs related to construction of the refinery and $18,668 on account of purchase of computer, equipment and furniture.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used in investing activities was $2,217,068, primarily representing $2,278,760 on account of capital project costs related to construction of the refinery offset partially by $78,311 proceeds from sale of investments in equity securities.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Cash Flows from Financing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provided by financing activities was $1,257,077 related primarily to gross proceeds from common stock issuance proceeds of $1,512,480 partially offset by repayment of short-term loan of $205,403 and payment of deferred transaction costs of $50,000.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provided by financing activities was $8,401,694 related primarily to gross proceeds from consummation of a public offering of $10,270,400, Warrant Inducement gross proceeds of $2,971,040, advance from PIPE investors of $125,000, common stock issuance proceeds of $122,551 partially offset by repayment of short-term loans of $3,808,552, payment of transaction costs associated with public offering and warrant inducement of $1,252,152, and deferred transaction costs payment of $25,000.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Operating and Capital Expenditure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earned any revenue and have been operating at a loss since inception. We have an accumulated deficit and stockholders’ deficit. These conditions raise substantial doubt about our ability to continue to finance operations over the next twelve months and is dependent upon management’s plan to raise additional capital from issuance of equity or receive additional borrowings to fund our operating and investing activities over the next one year. Our intended capital requirements depend on many factors including the capital expenditure required to set up our Facility, and undertake all activities necessary to start commercial production, prices of capital equipment, and preliminary costs. In the future, it will depend on our expansion of acquiring new assets/sites to have access and potential ownership of raw material. We may in the future enter into arrangements to acquire or invest in complementary businesses, services and technologies, including intellectual property rights. We may be required to seek additional equity or debt financing. If additional financing is required from outside sources, over and above what we are intending to raise currently, we may not be able to raise it on acceptable terms or at all. If we are unable to raise additional capital when desired, our business, results of operations and financial condition would be materially and adversely affected, and we may not be able to continue our intended operations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Commitments and Contractual Obligations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 to our unaudited condensed consolidated financial statements included elsewhere in this Quarterly Report for additional details regarding other contractual obligations and commitments as at June 30, 2026. While we have not entered into any other binding commitments, other strategic partnerships are being evaluated which could lead to future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Summary of Critical Accounting Estimates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and estimates involve a high degree of judgment and complexity. Accordingly, these are the policies we believe are the most critical to aid in fully understanding and evaluating our unaudited condensed consolidated financial condition and results of our operations. See Note 2 to our unaudited condensed consolidated financial statements appearing elsewhere in this Quarterly Report for a description of our other significant accounting policies. The preparation of our unaudited condensed consolidated financial statements in conformity with U.S. GAAP requires us to make estimates and judgments that affect the amounts reported in those unaudited condensed consolidated financial statements and accompanying notes. Although we believe that the estimates we use are reasonable, due to the inherent uncertainty involved in making those estimates, actual results reported in future periods could differ from those estimates.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recorded in accordance with Accounting Standard Codification (“ASC”) 740, “Income Taxes” (“ASC 740”), which provides for deferred taxes using an asset and liability approach. We recognize deferred tax assets and liabilities for the expected future tax consequences of events that have been included in the unaudited condensed consolidated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We account for uncertain tax positions in accordance with the provisions of ASC 740. When uncertain tax positions exist, we recognize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We recognize any interest and penalties accrued related to unrecognized tax benefits as income tax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Accounting Pronouncements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our unaudited condensed consolidated financial statements included elsewhere in this Quarterly Report for additional details regarding 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Segment Reporting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 segment information in the same way management internally organizes the business in assessing performance and making decisions regarding allocation of resources in accordance with ASC Topic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We have a single reportable operating segment which operates as a single business platform. In reaching this conclusion, management considered the definition of the Chief Operating Decision Maker (“</w:t>
      </w:r>
      <w:r>
        <w:rPr>
          <w:rFonts w:ascii="Times New Roman;Times;Serif" w:hAnsi="Times New Roman;Times;Serif"/>
          <w:b/>
          <w:i w:val="false"/>
          <w:caps w:val="false"/>
          <w:smallCaps w:val="false"/>
          <w:sz w:val="20"/>
        </w:rPr>
        <w:t>CODM</w:t>
      </w:r>
      <w:r>
        <w:rPr>
          <w:rFonts w:ascii="Times New Roman;Times;Serif" w:hAnsi="Times New Roman;Times;Serif"/>
          <w:b w:val="false"/>
          <w:i w:val="false"/>
          <w:caps w:val="false"/>
          <w:smallCaps w:val="false"/>
          <w:sz w:val="20"/>
        </w:rPr>
        <w:t>”), how the business is defined by the CODM, the nature of the information provided to the CODM, how the CODM uses such information to make operating decisions, and how resources and performance are accessed. Our CODM is the Chief Executive Officer, who reviews financial information presented on a consolidated basis for purposes of allocating resources and evaluating financial performance. We have a single, common management team and our cash flows are reported and reviewed on a total-company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Related Party Transactions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entered into a consulting agreement and loan arrangement with DRE Chicago LLC (“</w:t>
      </w:r>
      <w:r>
        <w:rPr>
          <w:rFonts w:ascii="Times New Roman;Times;Serif" w:hAnsi="Times New Roman;Times;Serif"/>
          <w:b/>
          <w:i w:val="false"/>
          <w:caps w:val="false"/>
          <w:smallCaps w:val="false"/>
          <w:sz w:val="20"/>
        </w:rPr>
        <w:t>DRE Chicago</w:t>
      </w:r>
      <w:r>
        <w:rPr>
          <w:rFonts w:ascii="Times New Roman;Times;Serif" w:hAnsi="Times New Roman;Times;Serif"/>
          <w:b w:val="false"/>
          <w:i w:val="false"/>
          <w:caps w:val="false"/>
          <w:smallCaps w:val="false"/>
          <w:sz w:val="20"/>
        </w:rPr>
        <w:t>”), whose principal, Paramita Das, was our former Chief Strategy Officer and Senior Advisor to the Chief Executive Officer as described in our Form 10-K. We recognized interest expense of $7,187 during the six months ended June 30, 2025. The loan was fully repaid, together with accrued interest, as of December 31, 2025, and 52,374 warrants, remain outstanding. DRE Chicago’s loan was entered into as part of a larger $1,800,000 Term Sheets facility with several lenders, which was fully repaid, together with accrued interest, as of December 31, 2025. Ms. Das terminated her employment with us in November 2025 and is no longer considered a related party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entered into a loan arrangement with Endurance Antarctica Partners II, LLC (“</w:t>
      </w:r>
      <w:r>
        <w:rPr>
          <w:rFonts w:ascii="Times New Roman;Times;Serif" w:hAnsi="Times New Roman;Times;Serif"/>
          <w:b/>
          <w:i w:val="false"/>
          <w:caps w:val="false"/>
          <w:smallCaps w:val="false"/>
          <w:sz w:val="20"/>
        </w:rPr>
        <w:t>Endurance</w:t>
      </w:r>
      <w:r>
        <w:rPr>
          <w:rFonts w:ascii="Times New Roman;Times;Serif" w:hAnsi="Times New Roman;Times;Serif"/>
          <w:b w:val="false"/>
          <w:i w:val="false"/>
          <w:caps w:val="false"/>
          <w:smallCaps w:val="false"/>
          <w:sz w:val="20"/>
        </w:rPr>
        <w:t>”), an affiliate of a director at the time and a shareholder, as described in our Form 10-K. We recognized interest expense of $51,042 during the six months ended June 30, 2025. The loan was fully repaid, together with accrued interest, as of December 31, 2025, and 488,826 warrants, remain outstanding. As of the date of this quarterly report, the Endurance-affiliated individual is no longer a member of our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entered into unsecured notes payable with three related parties. These notes payable provided us the ability to draw up to $1,000,000, in aggregate. In June 2025, we drew $250,000 from Energy Transition Investors LLC, and subsequently repaid the drawn amount by quarter ended June 30, 2025. We had accrued interest of $422 during the three months ended June 30, 2025 on the drawn amount and subsequently paid the interest in January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purchased from GPAC II an aggregate of 5,566,667 warrants at a price of $1.50 per warrant in a private placement that occurred simultaneously with the completion of our initial public offering (the “Private Warrants”). At closing of the Business Combination, we acquired the net liabilities for GPAC II including the Private Warrants. Each 10 Private Warrant entitles the holder to purchase one share of Common Stock at $115.00 per share. At June 30, 2026, there were 5,566,667 Private Warrants outstanding. As at June 30, 2026, the fair value of Private Warrants amounted to $617,900. We valued our Private Warrants based on the closing price of the Public Warrants since they are similar instruments.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Sponsor Earnout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closing of the Business Combination, we issued 100,000 shares to the Sponsor. These shares are subject to vesting (or forfeiture) based on achieving certain trading price thresholds following the closing (“Sponsor Earnout Shares”). Fifty percent of the Sponsor Earnout Shares will vest when the VWAP of the Common Stock price equals or exceeds $120.00 per share for a period of 20 trading days in a 30-trading day period, and the remaining fifty percent of the Sponsor Earnout Shares will vest when the VWAP of the Common Stock price equals or exceeds $140.00 per share for a period of 20 trading days in a 30 trading day period. Upon the occurrence of a change in control, any remaining unvested Sponsor Earnout Shares become vested. Unvested Sponsor Earnout Shares will be forfeited if vesting does not occur prior to the eighth anniversary of the Closing Date. We assess the fair value of expected earnout consideration at each reporting period using the Monte Carlo Method, which is consistent with the initial measurement of the expected earnout consideration. As at June 30, 2026 and December 31, 2025, we did not identify any indicators that a change in the fair value of the Sponsor Earnout Shares last measured at $4,700 as of March 31, 2025, would be material, and accordingly did not perform an updated Monte Carlo valuation as of either date.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Subsequent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16 to our unaudited condensed consolidated financial statements included elsewhere in this Quarterly Report for additional details regarding subsequent events.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6" w:name="a_009"/>
      <w:bookmarkEnd w:id="816"/>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Market Risk Framework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risk represents the risk of losses, or financial volatility in our operations, that may result from the fluctuations of various factors. The scope of our market risk, management policies and procedures is expected to include market-sensitive data related to interest rate, liquidity, input and selling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different types of market risk include: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Interest rate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represents the potential volatility from changes in market interest rates. We are exposed to interest rate risk arising from changes in the level and volatility of interest rates, changes in the slope of the yield curve, changes in credit spreads, and the rate of prepayments on our interest-earning assets (e.g., inventories) and our funding sources (e.g., short-term financing) which finance these assets. Project finance and loan facilities are a key component of our financing strategy. Volatility in the interest rate market could impede our plans for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Liquidity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we are unable to timely access necessary funding sources in order to operate our business, as well as the risk that we are unable to timely divest securities that we hold in connection with our sales and trading activities. We have been successful in equity financing in the past but there is no assurance that we will continue to be able to finance the Company with equity financing. We do not have substantial credit lines for financing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Credit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refers to the potential for loss due to the default or deterioration in credit quality of a counterparty, customer, borrower, or issuer. The nature and amount of credit risk depends on the type of transaction, the structure and duration of that transaction and the parties involved. Credit risk also results from an obligor’s failure to meet the terms of any contract with us or otherwise fail to perform as agreed. This may be reflected through issues such as settlement obligations or payment collections.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Operational risk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plan requires us to be able to operationally deliver on the project plan and timelines as projected by management. In order to mitigate and control operational risk, we expect to develop policies and procedures that are designed to help identify and manage operational risk at appropriate levels throughout the organization. We also expect to have business continuity plans in place that we believe should cover critical processes on a company-wide basis, and redundancies are built into our systems as we deem appropriate. These control mechanisms will be designed to help confirm that operational policies and procedures are being followed and that our various businesses are operating within established corporate policies and limits. We are leveraging and intend to continue implementing established best practices for our industry to reduce operational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Human Capital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is dependent upon the skills, expertise, industry knowledge and performance of our employees. Human capital risks represent the risks posed if we fail to attract and retain qualified individuals, particularly those having specialized technical knowledge in the exploration, extraction, and purification of brine from varying sources to produce battery-grade lithium, and employees who are motivated to serve the best interests of our clients, thereby serving our best interests. Attracting and retaining employees depends, among other things, on our Company’s culture, management, work environment, geographic locations and compensation. There are risks associated with the proper recruitment, development and rewards of our employees to ensure quality performance and retention. We offer competitive compensation and benefits to retain human capital, intend to offer educational opportunities to allow advancement, and promote balance in work life conditions by offering hybrid work- from-home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Legal and regulatory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regulatory risk includes the risk of non-compliance with applicable legal and regulatory requirements and the loss to our reputation that we may suffer as a result of a failure to comply with laws, regulations, rules, related self-regulatory organization standards and codes of conduct applicable to our business activities. We are generally subject to extensive regulations in the various jurisdictions in which we conduct our business. We are in the process of setting up procedures that are designed to help promote compliance with applicable statutory and regulatory requirements, such as public company reporting obligations, regulatory net capital requirements, sales practices, potential conflicts of interest, anti-money laundering, privacy and recordkeeping. We also expect to establish procedures that are designed to require that our policies relating to ethics and business conduct are followed.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Risk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Interest Rate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outstanding debt instruments, including the 2025 Convertible Note and our short-term insurance premium financing, bear interest at fixed rates. Accordingly, we do not believe we have significant exposure to changes in market interest rates on our existing debt; however, changes in prevailing interest rates could affect the cost and availability of any future debt or equity financing that we may need to raise to fund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Credit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credit risk with respect to our cash balances for those amounts in excess of the FDIC insured amount of $250,000. We have only one financial banking institution.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Inflation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inflation has had a material effect on our business, financial condition, or results of operations for the three months ended June 30, 2026, other than its impact on the general economy. However, we are currently operating in a more volatile inflationary environment due to macroeconomic conditions and have limited data and experience doing so in our history, particularly as we continue to invest in growth in our business. The principal inflationary factor affecting our business is higher costs. Our inability or failure to address challenges relating to inflation could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7" w:name="a_010"/>
      <w:bookmarkEnd w:id="817"/>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the internal control requirements of the Sarbanes-Oxley Act.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are procedures with the objective of ensuring that information required to be disclosed in our reports under the Exchange Act, such as this report, is recorded, processed, summarized and reported within the time period specified in the SEC’s rules and forms. Disclosure controls are designed with the objective of ensuring that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Rules 13a-15 and 15d-15 under the Exchange Act, our Chief Executive Officer and Chief Financial Officer carried out an evaluation of the effectiveness of the design and operation of our disclosure controls and procedures as of June 30, 2026. Based upon their evaluation, our Chief Executive Officer and Chief Financial Officer concluded that our disclosure controls and procedures (as defined in Rules 13a-15(e) and 15d-15(e) under the Exchange Act) were effective as of June 30, 2026. Accordingly, management believes that the financial statements included in this Quarterly Report on Form 10-Q present fairly in all material respects our financial position, results of operations and cash flows for the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Inherent Limitations on Effectiveness of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is also based partly on certain assumptions about the likelihood of future events, and there can be no assurance that any design will succeed in achieving its stated goals under all potential future conditions.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18" w:name="a_011"/>
      <w:bookmarkEnd w:id="818"/>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9" w:name="a_012"/>
      <w:bookmarkEnd w:id="819"/>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certain legal and regulatory proceedings, as well as demands, investigations and claims that arise in the ordinary course of our business. The ultimate outcome of any litigation is often uncertain, and unfavorable outcomes could have a negative impact on our results of operations and financial condition. We make a provision for a liability relating to legal matters when it is both probable that a liability has been incurred and the amount of the loss can be reasonably estimated. These provisions are reviewed at least quarterly and adjusted to reflect the impact of negotiations, estimated settlements, legal rulings, advice of legal counsel and other information and events pertaining to a particular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7, 2025, a complaint was filed in the Supreme Court of the State of New York, County of New York, captioned </w:t>
      </w:r>
      <w:r>
        <w:rPr>
          <w:rFonts w:ascii="Times New Roman;Times;Serif" w:hAnsi="Times New Roman;Times;Serif"/>
          <w:b w:val="false"/>
          <w:i/>
          <w:caps w:val="false"/>
          <w:smallCaps w:val="false"/>
          <w:sz w:val="20"/>
        </w:rPr>
        <w:t>H.C. Wainwright &amp; Co., LLC v. Stardust Power, Inc.</w:t>
      </w:r>
      <w:r>
        <w:rPr>
          <w:rFonts w:ascii="Times New Roman;Times;Serif" w:hAnsi="Times New Roman;Times;Serif"/>
          <w:b w:val="false"/>
          <w:i w:val="false"/>
          <w:caps w:val="false"/>
          <w:smallCaps w:val="false"/>
          <w:sz w:val="20"/>
        </w:rPr>
        <w:t>, Case No: 654037/2025. The complaint names us as defendant, alleging, among other things, that we breached an engagement agreement with the plaintiffs. The plaintiffs seek, among other things, payment of all purported unpaid sums due under such engagement agreement. On September 19, 2025, we filed our answer in response to the complaint, in which we denied all liability and asserted several affirmative defenses. We plan to vigorously defend against the lawsuit and the action will proceed next to the discovery stage and for further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0" w:name="a_013"/>
      <w:bookmarkEnd w:id="820"/>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Part I, Item 1A—Risk Factors of the Company’s Form 10-K . Any of these factors could result in a significant or material adverse effect on our business,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 factors set forth in our Form 10-K, the following risk factors should be considered carefully in evaluating our Company 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regain compliance with the Nasdaq continued listing requirements could result in the delisting of our Common Stock and Public Warrants, which could have a material adverse effect on our business and the value of your investment, and would trigger an event of default under our 2025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we received written notice from the Listing Qualifications Staff of The Nasdaq Stock Market LLC (“Nasdaq”) notifying us that we were not in compliance with the minimum $35 million market value of listed securities requirement set forth in Nasdaq Listing Rule 5550(b)(2) for continued listing on The Nasdaq Capital Market (the “MVLS Requirement”) because our market value of listed securities had been below $35 million for 30 consecutive business days. The notice also indicated that we do not currently meet the alternative continued listing requirements under Nasdaq Listing Rules 5550(b)(1) (stockholders’ equity of at least $2.5 million) or 5550(b)(3) (net income from continuing operations of at least $500,000 in the most recently completed fiscal year or in two of the last three most recently completed fiscal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rules, we have a period of 180 calendar days, or until October 21, 2026, to regain compliance with the MVLS Requirement. To regain compliance, our market value of listed securities must close at $35 million or more for a minimum of 10 consecutive business days during the 180-day compliance period. If we do not regain compliance within the compliance period, we may be eligible for an additional compliance period or we may face delisting proceedings. There can be no assurance that we will be able to regain compliance with the MVLS Requirement or any other continued listing requirement or maintain compliance with any other applicable requirements for continued listing on The Nasdaq Capital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securities are delisted from Nasdaq, we may face significant adverse consequences, including limited availability of market quotations for our securities, reduced liquidity with respect to our securities, a determination that our Common Stock is a “penny stock” which would require brokers trading in our Common Stock to adhere to more stringent rules and possibly result in a reduced level of trading activity in the secondary trading market for our securities, a limited amount of news and analyst coverage, and a decreased ability to issue additional securities or obtain additional financing in the future. In addition, a delisting of our securities from Nasdaq would constitute an event of default under our 2025 Convertible Note with Lind Global Asset Management XIII LLC (“Lind”), which could result in the acceleration of the outstanding principal and any accrued and unpaid amounts thereunder at Lind’s election. Any such acceleration would have a material adverse effect on our financial condition and our ability to continue as a going concern. The national securities exchange on which our securities are listed is a material term of our existing and any future financing agreements, and delisting could trigger defaults, acceleration, or other adverse consequences under such arrangements.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our ability to continue as a going concern, and we will need to raise additional capital in the near term to maintain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$540,264 of unrestricted cash. We are a development stage company, have not generated any revenue, and have incurred significant losses since inception. As of June 30, 2026, we had an accumulated deficit of $77,480,170 and a stockholders’ deficit of $8,240,860. We expect to continue to incur significant costs in pursuit of our operating and investment plans, which costs exceed our existing cash balance and net working capital. These conditions raise substantial doubt about our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cash on hand, together with additional investments available through the issuance of new Common Stock, will be inadequate to satisfy our working capital and capital expenditure requirements for at least the next twelve months. Our ability to continue as a going concern is dependent upon management’s ability to raise additional capital from the issuance of equity securities or obtain additional borrowings to fund our operating and investing activities over the next year. No assurance can be given that any future financing will be available or, if available, that it will be on terms that are satisfactory to us. Even if we are able to obtain additional financing, it may contain restrictions on our operations, in the case of debt financing, or cause substantial dilution for our stockholders, in the case of equity financing. If we are unable to raise additional capital when needed, we may be required to curtail, delay, or eliminate some or all of our planned activities and may not be able to continue as a going concern, which would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default and acceleration risk under our senior secured 2025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2025 Convertible Note with Lind is a senior secured obligation and includes customary events of default, including, among others, failure to make required payments when due, failure to comply with covenants, breach of representations and warranties, insolvency or bankruptcy, delisting of our Common Stock from Nasdaq, and certain change-in-control events. Upon an event of default, Lind may, at its election, require immediate repayment in cash or elect alternative settlement provisions at adjusted prices. As of June 30, 2026, the outstanding principal amount under the 2025 Convertible Note was $4,080,000. Given our current financial condition and limited cash resources, we may not be able to satisfy our obligations under the 2025 Convertible Note if an event of default occurs and Lind elects to accelerate the outstanding amounts. Our inability to satisfy an acceleration demand would have a material adverse effect on our financial condition and our ability to continue as a going concern. Additionally, because the 2025 Convertible Note is secured by substantially all of our assets, Lind could exercise remedies against our collateral in the event of a default, which could result in the loss of our assets and severely impair or preclude our ability to conduct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8, “Convertible Note and Warrants” and Item 5, “Other Information,” on August 11, 2026, an event of default occurred under our 2025 Convertible Note (the “Triggering Event”) as a result of our market capitalization remaining below $15.0 million for ten consecutive trading days. As a result of the Triggering Event, we became obligated to pay a Mandatory Default Amount equal to 110% of the outstanding principal, and default interest began accruing at 10% per annum. In addition, the remaining capacity under the Lind Securities Purchase Agreement might not be available unless Lind waives the Triggering Event. The loss of access to this committed funding source, combined with our existing liquidity constraints, could further exacerbate the substantial doubt about our ability to continue as a going concern. We are engaged in discussions with Lind regarding a potential forbearance, waiver, or amendment with respect to the Triggering Event; however, there can be no assurance that such discussions will result in a definitive agreement, or that any agreement will be reached on terms acceptable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 factors not presently known to us or that we currently deem immaterial may also impair our business,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1" w:name="a_014"/>
      <w:bookmarkEnd w:id="821"/>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Repurchases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2" w:name="a_015"/>
      <w:bookmarkEnd w:id="822"/>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3" w:name="a_016"/>
      <w:bookmarkEnd w:id="823"/>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4" w:name="a_017"/>
      <w:bookmarkEnd w:id="824"/>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On August 11, 2026, the Company determined that its market capitalization had been below $15.0 million for ten consecutive trading days, resulting in an event of default under the 2025 Convertible Note (the “Triggering Event”). As a result of the Triggering Event: (i) the Company became obligated to pay a Mandatory Default Amount equal to 110% of the outstanding principal amount of the 2025 Convertible Note as of the date of the Triggering Event, approximately $4.22 million based on outstanding principal of approximately $3.84 million (representing an increase of approximately $0.38 million), which amount was earned by Lind on that date and is payable upon the earliest of maturity, conversion, redemption, prepayment, or acceleration; (ii) the outstanding principal accrues default interest at a rate of 10% per annum from the date of the Triggering Event; (iii) during the continuance of the Triggering Event, Lind may, without further notice, accelerate all amounts owing under the 2025 Convertible Note, exercise remedies as a secured creditor against substantially all of the assets of the Company and its subsidiaries (including the pledged equity interests of the subsidiaries through which the Company conducts substantially all of its operations), and require conversion of the 2025 Convertible Note into shares of Common Stock at the lower of (A) the conversion price then in effect or (B) 80% of the average of the three lowest daily volume-weighted average prices over the prior 20 trading days, subject to the beneficial ownership limitations set forth in the 2025 Convertible Note, which conversions would be substantially dilutive at recent trading prices; and (iv) the Company’s right to receive distributions from its subsidiaries is suspended during the continuance of the Triggering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Lind are engaged in discussions regarding a potential forbearance, waiver, or amendment with respect to the Triggering Event; however, no assurance can be given that such discussions will result in a definitive agreement or that any agreement will be reached on terms acceptable to the Company. As of the date of this Quarterly Report on Form 10-Q, Lind had not accelerated the Mandatory Default Amount or exercised its remedies under the 2025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Triggering Event and its consequences is qualified in its entirety by reference to the 2025 Convertible Note, the Lind Securities Purchase Agreement, and the other related transaction documents filed as exhibits to the Company’s Current Report on Form 8-K filed on December 31, 2025, which are incorporated herein by reference. See Note 8, “Convertible Notes and Warrants” to the unaudited condensed consolidated financial statements included elsewhere in this Quarterly Report for additional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Director and Officer 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two of our directors or officers (as defined in Section 16a-1(f) under the Exchange Act) </w:t>
      </w:r>
      <w:bookmarkStart w:id="825" w:name="xdx_90F_eecd--NonRule10b51ArrAdoptedFlag"/>
      <w:bookmarkStart w:id="826" w:name="xdx_90F_eecd--Rule10b51ArrAdoptedFlag_db"/>
      <w:bookmarkEnd w:id="825"/>
      <w:bookmarkEnd w:id="826"/>
      <w:r>
        <w:rPr>
          <w:rFonts w:ascii="Times New Roman;Times;Serif" w:hAnsi="Times New Roman;Times;Serif"/>
          <w:b w:val="false"/>
          <w:i w:val="false"/>
          <w:caps w:val="false"/>
          <w:smallCaps w:val="false"/>
          <w:sz w:val="20"/>
        </w:rPr>
        <w:t xml:space="preserve">adopted, </w:t>
      </w:r>
      <w:bookmarkStart w:id="827" w:name="xdx_90F_ecustom--NonRule10b51ArrModified"/>
      <w:bookmarkStart w:id="828" w:name="xdx_90F_ecustom--Rule10b51ArrModifiedFla"/>
      <w:bookmarkEnd w:id="827"/>
      <w:bookmarkEnd w:id="828"/>
      <w:r>
        <w:rPr>
          <w:rFonts w:ascii="Times New Roman;Times;Serif" w:hAnsi="Times New Roman;Times;Serif"/>
          <w:b w:val="false"/>
          <w:i w:val="false"/>
          <w:caps w:val="false"/>
          <w:smallCaps w:val="false"/>
          <w:sz w:val="20"/>
        </w:rPr>
        <w:t xml:space="preserve">modified, or </w:t>
      </w:r>
      <w:bookmarkStart w:id="829" w:name="xdx_90A_eecd--NonRule10b51ArrTrmntdFlag_"/>
      <w:bookmarkStart w:id="830" w:name="xdx_908_eecd--Rule10b51ArrTrmntdFlag_dbF"/>
      <w:bookmarkEnd w:id="829"/>
      <w:bookmarkEnd w:id="830"/>
      <w:r>
        <w:rPr>
          <w:rFonts w:ascii="Times New Roman;Times;Serif" w:hAnsi="Times New Roman;Times;Serif"/>
          <w:b w:val="false"/>
          <w:i w:val="false"/>
          <w:caps w:val="false"/>
          <w:smallCaps w:val="false"/>
          <w:sz w:val="20"/>
        </w:rPr>
        <w:t>terminated a “Rule 10b5-1 trading arrangement” or “non-Rule 10b5-1 trading arrangement,” as each term is defined in Item 408 of Regulation S-K, intended to satisfy the affirmative defense of Rule 10b5-1(c) under the Exchange Act, as set forth in the table below.</w:t>
      </w:r>
    </w:p>
    <w:p>
      <w:pPr>
        <w:pStyle w:val="TextBody"/>
        <w:bidi w:val="0"/>
        <w:spacing w:before="0" w:after="0"/>
        <w:ind w:left="0" w:right="0" w:hanging="0"/>
        <w:jc w:val="both"/>
        <w:rPr>
          <w:caps w:val="false"/>
          <w:smallCaps w:val="false"/>
        </w:rPr>
      </w:pPr>
      <w:r>
        <w:rPr>
          <w:caps w:val="false"/>
          <w:smallCaps w:val="false"/>
        </w:rPr>
        <w:t> </w:t>
      </w:r>
    </w:p>
    <w:tbl>
      <w:tblPr>
        <w:tblW w:w="8724" w:type="dxa"/>
        <w:jc w:val="left"/>
        <w:tblInd w:w="0" w:type="dxa"/>
        <w:tblLayout w:type="fixed"/>
        <w:tblCellMar>
          <w:top w:w="0" w:type="dxa"/>
          <w:left w:w="0" w:type="dxa"/>
          <w:bottom w:w="28" w:type="dxa"/>
          <w:right w:w="0" w:type="dxa"/>
        </w:tblCellMar>
      </w:tblPr>
      <w:tblGrid>
        <w:gridCol w:w="2390"/>
        <w:gridCol w:w="60"/>
        <w:gridCol w:w="800"/>
        <w:gridCol w:w="60"/>
        <w:gridCol w:w="1355"/>
        <w:gridCol w:w="60"/>
        <w:gridCol w:w="134"/>
        <w:gridCol w:w="1805"/>
        <w:gridCol w:w="60"/>
        <w:gridCol w:w="60"/>
        <w:gridCol w:w="1940"/>
      </w:tblGrid>
      <w:tr>
        <w:trPr/>
        <w:tc>
          <w:tcPr>
            <w:tcW w:w="2390" w:type="dxa"/>
            <w:tcBorders>
              <w:bottom w:val="single" w:sz="8" w:space="0" w:color="000000"/>
            </w:tcBorders>
            <w:vAlign w:val="center"/>
          </w:tcPr>
          <w:p>
            <w:pPr>
              <w:pStyle w:val="TableContents"/>
              <w:bidi w:val="0"/>
              <w:spacing w:before="0" w:after="283"/>
              <w:jc w:val="left"/>
              <w:rPr>
                <w:b/>
              </w:rPr>
            </w:pPr>
            <w:r>
              <w:rPr>
                <w:b/>
              </w:rPr>
              <w:t>Name and Position</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left"/>
              <w:rPr>
                <w:b/>
              </w:rPr>
            </w:pPr>
            <w:r>
              <w:rPr>
                <w:b/>
              </w:rPr>
              <w:t>Action</w:t>
            </w:r>
          </w:p>
        </w:tc>
        <w:tc>
          <w:tcPr>
            <w:tcW w:w="60" w:type="dxa"/>
            <w:tcBorders/>
            <w:tcMar>
              <w:bottom w:w="0" w:type="dxa"/>
            </w:tcMar>
            <w:vAlign w:val="center"/>
          </w:tcPr>
          <w:p>
            <w:pPr>
              <w:pStyle w:val="TableContents"/>
              <w:bidi w:val="0"/>
              <w:spacing w:before="0" w:after="283"/>
              <w:jc w:val="left"/>
              <w:rPr/>
            </w:pPr>
            <w:r>
              <w:rPr/>
              <w:t> </w:t>
            </w:r>
          </w:p>
        </w:tc>
        <w:tc>
          <w:tcPr>
            <w:tcW w:w="1355" w:type="dxa"/>
            <w:tcBorders>
              <w:bottom w:val="single" w:sz="8" w:space="0" w:color="000000"/>
            </w:tcBorders>
            <w:vAlign w:val="center"/>
          </w:tcPr>
          <w:p>
            <w:pPr>
              <w:pStyle w:val="TableContents"/>
              <w:bidi w:val="0"/>
              <w:spacing w:before="0" w:after="283"/>
              <w:jc w:val="left"/>
              <w:rPr>
                <w:b/>
              </w:rPr>
            </w:pPr>
            <w:r>
              <w:rPr>
                <w:b/>
              </w:rPr>
              <w:t>Date</w:t>
            </w:r>
          </w:p>
        </w:tc>
        <w:tc>
          <w:tcPr>
            <w:tcW w:w="60" w:type="dxa"/>
            <w:tcBorders/>
            <w:tcMar>
              <w:bottom w:w="0" w:type="dxa"/>
            </w:tcMar>
            <w:vAlign w:val="center"/>
          </w:tcPr>
          <w:p>
            <w:pPr>
              <w:pStyle w:val="TableContents"/>
              <w:bidi w:val="0"/>
              <w:spacing w:before="0" w:after="283"/>
              <w:jc w:val="left"/>
              <w:rPr/>
            </w:pPr>
            <w:r>
              <w:rPr/>
              <w:t> </w:t>
            </w:r>
          </w:p>
        </w:tc>
        <w:tc>
          <w:tcPr>
            <w:tcW w:w="1939" w:type="dxa"/>
            <w:gridSpan w:val="2"/>
            <w:tcBorders>
              <w:bottom w:val="single" w:sz="8" w:space="0" w:color="000000"/>
            </w:tcBorders>
            <w:vAlign w:val="center"/>
          </w:tcPr>
          <w:p>
            <w:pPr>
              <w:pStyle w:val="TableContents"/>
              <w:bidi w:val="0"/>
              <w:spacing w:before="0" w:after="283"/>
              <w:jc w:val="left"/>
              <w:rPr>
                <w:b/>
              </w:rPr>
            </w:pPr>
            <w:r>
              <w:rPr>
                <w:b/>
              </w:rPr>
              <w:t>Maximum number</w:t>
              <w:br/>
              <w:t>of shares of</w:t>
              <w:br/>
              <w:t>Common Stock</w:t>
              <w:br/>
              <w:t>eligible for sale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40" w:type="dxa"/>
            <w:tcBorders>
              <w:bottom w:val="single" w:sz="8" w:space="0" w:color="000000"/>
            </w:tcBorders>
            <w:vAlign w:val="center"/>
          </w:tcPr>
          <w:p>
            <w:pPr>
              <w:pStyle w:val="TableContents"/>
              <w:bidi w:val="0"/>
              <w:spacing w:before="0" w:after="283"/>
              <w:jc w:val="left"/>
              <w:rPr>
                <w:b/>
              </w:rPr>
            </w:pPr>
            <w:r>
              <w:rPr>
                <w:b/>
              </w:rPr>
              <w:t>Expiration date</w:t>
            </w:r>
          </w:p>
        </w:tc>
      </w:tr>
      <w:tr>
        <w:trPr/>
        <w:tc>
          <w:tcPr>
            <w:tcW w:w="2390" w:type="dxa"/>
            <w:tcBorders/>
            <w:shd w:fill="CCEEFF" w:val="clear"/>
            <w:tcMar>
              <w:bottom w:w="0" w:type="dxa"/>
            </w:tcMar>
            <w:vAlign w:val="center"/>
          </w:tcPr>
          <w:p>
            <w:pPr>
              <w:pStyle w:val="TableContents"/>
              <w:bidi w:val="0"/>
              <w:spacing w:before="0" w:after="283"/>
              <w:jc w:val="left"/>
              <w:rPr>
                <w:i/>
              </w:rPr>
            </w:pPr>
            <w:r>
              <w:rPr>
                <w:i/>
              </w:rPr>
              <w:t xml:space="preserve">Udaychandra Devasper </w:t>
              <w:br/>
              <w:t>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May 21,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pPr>
            <w:r>
              <w:rPr/>
              <w:t>November 19, 2027</w:t>
            </w:r>
          </w:p>
        </w:tc>
      </w:tr>
      <w:tr>
        <w:trPr/>
        <w:tc>
          <w:tcPr>
            <w:tcW w:w="2390" w:type="dxa"/>
            <w:tcBorders/>
            <w:shd w:fill="FFFFFF" w:val="clear"/>
            <w:tcMar>
              <w:bottom w:w="0" w:type="dxa"/>
            </w:tcMar>
            <w:vAlign w:val="center"/>
          </w:tcPr>
          <w:p>
            <w:pPr>
              <w:pStyle w:val="TableContents"/>
              <w:bidi w:val="0"/>
              <w:spacing w:before="0" w:after="283"/>
              <w:jc w:val="left"/>
              <w:rPr>
                <w:i/>
              </w:rPr>
            </w:pPr>
            <w:r>
              <w:rPr>
                <w:i/>
              </w:rPr>
              <w:t xml:space="preserve">Pablo Cortegoso </w:t>
              <w:br/>
              <w:t>Chief Technical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Adoption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left"/>
              <w:rPr/>
            </w:pPr>
            <w:r>
              <w:rPr/>
              <w:t>June 17,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805" w:type="dxa"/>
            <w:tcBorders/>
            <w:shd w:fill="FFFFFF" w:val="clear"/>
            <w:tcMar>
              <w:bottom w:w="0" w:type="dxa"/>
            </w:tcMar>
            <w:vAlign w:val="center"/>
          </w:tcPr>
          <w:p>
            <w:pPr>
              <w:pStyle w:val="TableContents"/>
              <w:bidi w:val="0"/>
              <w:spacing w:before="0" w:after="283"/>
              <w:jc w:val="right"/>
              <w:rPr/>
            </w:pPr>
            <w:r>
              <w:rPr/>
              <w:t>130,909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pPr>
            <w:r>
              <w:rPr/>
              <w:t>December 17, 2026</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1" w:name="a_018"/>
      <w:bookmarkEnd w:id="831"/>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3"/>
        <w:gridCol w:w="60"/>
        <w:gridCol w:w="9402"/>
      </w:tblGrid>
      <w:tr>
        <w:trPr/>
        <w:tc>
          <w:tcPr>
            <w:tcW w:w="743"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40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At Market Issuance Sales Agreement, dated as of May 8, 2026, between Stardust Power Inc. and B. Riley Securities, Inc. (incorporated by reference to Exhibit 1.1 of the Company’s Current Report on Form 8-K filed with the SEC on May 8, 2026).</w:t>
              </w:r>
            </w:hyperlink>
          </w:p>
        </w:tc>
      </w:tr>
      <w:tr>
        <w:trPr/>
        <w:tc>
          <w:tcPr>
            <w:tcW w:w="7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FFFF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Business Combination Agreement, dated as of November 21, 2023, by and among Global Partner Acquisition Corp., Strike Merger Sub I, Inc., Strike Merger Sub II, LLC., and Stardust Power Inc. (incorporated by reference to Exhibit 2.1 of the Company’s Current Report on Form 8-K filed with the SEC on November 21, 2023).</w:t>
              </w:r>
            </w:hyperlink>
          </w:p>
        </w:tc>
      </w:tr>
      <w:tr>
        <w:trPr/>
        <w:tc>
          <w:tcPr>
            <w:tcW w:w="7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Amendment No. 1 to the Business Combination Agreement, dated as of April 24, 2024, by and among Global Partner Acquisition Corp II, Strike Merger Sub I, Inc., Strike Merger Sub II, LLC, and Stardust Power Inc. (incorporated by reference to Exhibit 2.1 of the Company’s Current Report on Form 8-K, filed with the SEC on April 24, 2024).</w:t>
              </w:r>
            </w:hyperlink>
          </w:p>
        </w:tc>
      </w:tr>
      <w:tr>
        <w:trPr/>
        <w:tc>
          <w:tcPr>
            <w:tcW w:w="7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FFFF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Amendment No. 2 to the Business Combination Agreement, dated as of June 20, 2024, by and among Global Partner Acquisition Corp II, Strike Merger Sub I, Inc., Strike Merger Sub II, LLC, and Stardust Power Inc. (incorporated by reference to Exhibit 2.1 of the Company’s Current Report on Form 8-K, filed with the SEC on June 21, 2024).</w:t>
              </w:r>
            </w:hyperlink>
          </w:p>
        </w:tc>
      </w:tr>
      <w:tr>
        <w:trPr/>
        <w:tc>
          <w:tcPr>
            <w:tcW w:w="7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CCEE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Incorporation of Global Partner Acquisition Corp II (incorporated by reference to Exhibit 3.1 of the Company’s Current Report on Form 8-K, filed with the SEC on July 12, 2024).</w:t>
              </w:r>
            </w:hyperlink>
          </w:p>
        </w:tc>
      </w:tr>
      <w:tr>
        <w:trPr/>
        <w:tc>
          <w:tcPr>
            <w:tcW w:w="7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FFFFFF" w:val="clear"/>
            <w:tcMar>
              <w:bottom w:w="0" w:type="dxa"/>
            </w:tcMar>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Certificate of Amendment to the Certificate of Incorporation (incorporated by reference to Exhibit 3.2 to the Company’s Annual Report on Form 10-K filed with the SEC on March 25, 2026).</w:t>
              </w:r>
            </w:hyperlink>
          </w:p>
        </w:tc>
      </w:tr>
      <w:tr>
        <w:trPr/>
        <w:tc>
          <w:tcPr>
            <w:tcW w:w="7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to the Certificate of Incorporation (incorporated by reference to Exhibit 3.1 of the Company’s Current Report on Form 8-K filed with the SEC on September 4, 2025).</w:t>
              </w:r>
            </w:hyperlink>
          </w:p>
        </w:tc>
      </w:tr>
      <w:tr>
        <w:trPr/>
        <w:tc>
          <w:tcPr>
            <w:tcW w:w="7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FFFF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Bylaws of Global Partner Acquisition Corp II (incorporated by reference to Exhibit 3.2 of the Company’s Current Report on Form 8-K, filed with the SEC on July 12, 2024).</w:t>
              </w:r>
            </w:hyperlink>
          </w:p>
        </w:tc>
      </w:tr>
      <w:tr>
        <w:trPr/>
        <w:tc>
          <w:tcPr>
            <w:tcW w:w="743"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2" w:type="dxa"/>
            <w:tcBorders/>
            <w:shd w:fill="CCEEFF" w:val="clear"/>
            <w:tcMar>
              <w:bottom w:w="0" w:type="dxa"/>
            </w:tcMar>
            <w:vAlign w:val="center"/>
          </w:tcPr>
          <w:p>
            <w:pPr>
              <w:pStyle w:val="TableContents"/>
              <w:bidi w:val="0"/>
              <w:spacing w:before="0" w:after="283"/>
              <w:jc w:val="both"/>
              <w:rPr/>
            </w:pPr>
            <w:hyperlink r:id="rId10">
              <w:r>
                <w:rPr>
                  <w:rStyle w:val="InternetLink"/>
                  <w:sz w:val="20"/>
                </w:rPr>
                <w:t>Form of Common Warrant (incorporated by reference to Exhibit 4.4 of the Company’s Registration Statement on Form S-1 filed with the SEC on January 15, 2025).</w:t>
              </w:r>
            </w:hyperlink>
          </w:p>
        </w:tc>
      </w:tr>
      <w:tr>
        <w:trPr/>
        <w:tc>
          <w:tcPr>
            <w:tcW w:w="743" w:type="dxa"/>
            <w:tcBorders/>
            <w:shd w:fill="FFFFFF" w:val="clear"/>
            <w:tcMar>
              <w:bottom w:w="0" w:type="dxa"/>
            </w:tcMar>
            <w:vAlign w:val="center"/>
          </w:tcPr>
          <w:p>
            <w:pPr>
              <w:pStyle w:val="TableContents"/>
              <w:bidi w:val="0"/>
              <w:spacing w:before="0" w:after="283"/>
              <w:jc w:val="left"/>
              <w:rPr>
                <w:sz w:val="20"/>
              </w:rPr>
            </w:pPr>
            <w:r>
              <w:rPr>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2" w:type="dxa"/>
            <w:tcBorders/>
            <w:shd w:fill="FFFFFF" w:val="clear"/>
            <w:tcMar>
              <w:bottom w:w="0" w:type="dxa"/>
            </w:tcMar>
            <w:vAlign w:val="center"/>
          </w:tcPr>
          <w:p>
            <w:pPr>
              <w:pStyle w:val="TableContents"/>
              <w:bidi w:val="0"/>
              <w:spacing w:before="0" w:after="283"/>
              <w:jc w:val="both"/>
              <w:rPr/>
            </w:pPr>
            <w:hyperlink r:id="rId11">
              <w:r>
                <w:rPr>
                  <w:rStyle w:val="InternetLink"/>
                  <w:sz w:val="20"/>
                </w:rPr>
                <w:t>Form of Pre-Funded Warrant (incorporated by reference to Exhibit 4.5 of the Company’s Registration Statement on Form S-1 filed with the SEC on January 15, 2025).</w:t>
              </w:r>
            </w:hyperlink>
          </w:p>
        </w:tc>
      </w:tr>
      <w:tr>
        <w:trPr/>
        <w:tc>
          <w:tcPr>
            <w:tcW w:w="743" w:type="dxa"/>
            <w:tcBorders/>
            <w:shd w:fill="CCEEFF" w:val="clear"/>
            <w:tcMar>
              <w:bottom w:w="0" w:type="dxa"/>
            </w:tcMar>
            <w:vAlign w:val="center"/>
          </w:tcPr>
          <w:p>
            <w:pPr>
              <w:pStyle w:val="TableContents"/>
              <w:bidi w:val="0"/>
              <w:spacing w:before="0" w:after="283"/>
              <w:jc w:val="left"/>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2" w:type="dxa"/>
            <w:tcBorders/>
            <w:shd w:fill="CCEEFF" w:val="clear"/>
            <w:tcMar>
              <w:bottom w:w="0" w:type="dxa"/>
            </w:tcMar>
            <w:vAlign w:val="center"/>
          </w:tcPr>
          <w:p>
            <w:pPr>
              <w:pStyle w:val="TableContents"/>
              <w:bidi w:val="0"/>
              <w:spacing w:before="0" w:after="283"/>
              <w:jc w:val="both"/>
              <w:rPr/>
            </w:pPr>
            <w:hyperlink r:id="rId12">
              <w:r>
                <w:rPr>
                  <w:rStyle w:val="InternetLink"/>
                  <w:sz w:val="20"/>
                </w:rPr>
                <w:t>Form of Common Warrant (incorporated by reference to Exhibit 4.1 of the Company’s Current Report on Form 8-K filed with the SEC on January 28, 2025).</w:t>
              </w:r>
            </w:hyperlink>
          </w:p>
        </w:tc>
      </w:tr>
      <w:tr>
        <w:trPr/>
        <w:tc>
          <w:tcPr>
            <w:tcW w:w="743" w:type="dxa"/>
            <w:tcBorders/>
            <w:shd w:fill="FFFFFF" w:val="clear"/>
            <w:tcMar>
              <w:bottom w:w="0" w:type="dxa"/>
            </w:tcMar>
            <w:vAlign w:val="center"/>
          </w:tcPr>
          <w:p>
            <w:pPr>
              <w:pStyle w:val="TableContents"/>
              <w:bidi w:val="0"/>
              <w:spacing w:before="0" w:after="283"/>
              <w:jc w:val="left"/>
              <w:rPr>
                <w:sz w:val="20"/>
              </w:rPr>
            </w:pPr>
            <w:r>
              <w:rPr>
                <w:sz w:val="20"/>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2" w:type="dxa"/>
            <w:tcBorders/>
            <w:shd w:fill="FFFFFF" w:val="clear"/>
            <w:tcMar>
              <w:bottom w:w="0" w:type="dxa"/>
            </w:tcMar>
            <w:vAlign w:val="center"/>
          </w:tcPr>
          <w:p>
            <w:pPr>
              <w:pStyle w:val="TableContents"/>
              <w:bidi w:val="0"/>
              <w:spacing w:before="0" w:after="283"/>
              <w:jc w:val="both"/>
              <w:rPr/>
            </w:pPr>
            <w:hyperlink r:id="rId13">
              <w:r>
                <w:rPr>
                  <w:rStyle w:val="InternetLink"/>
                  <w:sz w:val="20"/>
                </w:rPr>
                <w:t>Form of Common Warrant (incorporated by reference to Exhibit 4.1 of the Company’s Current Report on Form 8-K filed with the SEC on March 17, 2025).</w:t>
              </w:r>
            </w:hyperlink>
          </w:p>
        </w:tc>
      </w:tr>
      <w:tr>
        <w:trPr/>
        <w:tc>
          <w:tcPr>
            <w:tcW w:w="743" w:type="dxa"/>
            <w:tcBorders/>
            <w:shd w:fill="CCEEFF" w:val="clear"/>
            <w:tcMar>
              <w:bottom w:w="0" w:type="dxa"/>
            </w:tcMar>
            <w:vAlign w:val="center"/>
          </w:tcPr>
          <w:p>
            <w:pPr>
              <w:pStyle w:val="TableContents"/>
              <w:bidi w:val="0"/>
              <w:spacing w:before="0" w:after="283"/>
              <w:jc w:val="left"/>
              <w:rPr>
                <w:sz w:val="20"/>
              </w:rPr>
            </w:pPr>
            <w:r>
              <w:rPr>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2" w:type="dxa"/>
            <w:tcBorders/>
            <w:shd w:fill="CCEEFF" w:val="clear"/>
            <w:tcMar>
              <w:bottom w:w="0" w:type="dxa"/>
            </w:tcMar>
            <w:vAlign w:val="center"/>
          </w:tcPr>
          <w:p>
            <w:pPr>
              <w:pStyle w:val="TableContents"/>
              <w:bidi w:val="0"/>
              <w:spacing w:before="0" w:after="283"/>
              <w:jc w:val="both"/>
              <w:rPr/>
            </w:pPr>
            <w:hyperlink r:id="rId14">
              <w:r>
                <w:rPr>
                  <w:rStyle w:val="InternetLink"/>
                  <w:sz w:val="20"/>
                </w:rPr>
                <w:t>Specimen Warrant Certificate (incorporated by reference to Exhibit 4.3 to Amendment No. 1 to Global Partner Acquisition Corp II’s Registration Statement on Form S-1, filed with the SEC on December 31, 2020).</w:t>
              </w:r>
            </w:hyperlink>
          </w:p>
        </w:tc>
      </w:tr>
      <w:tr>
        <w:trPr/>
        <w:tc>
          <w:tcPr>
            <w:tcW w:w="743" w:type="dxa"/>
            <w:tcBorders/>
            <w:shd w:fill="FFFFFF" w:val="clear"/>
            <w:tcMar>
              <w:bottom w:w="0" w:type="dxa"/>
            </w:tcMar>
            <w:vAlign w:val="center"/>
          </w:tcPr>
          <w:p>
            <w:pPr>
              <w:pStyle w:val="TableContents"/>
              <w:bidi w:val="0"/>
              <w:spacing w:before="0" w:after="283"/>
              <w:jc w:val="left"/>
              <w:rPr>
                <w:sz w:val="20"/>
              </w:rPr>
            </w:pPr>
            <w:r>
              <w:rPr>
                <w:sz w:val="20"/>
              </w:rPr>
              <w:t>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2" w:type="dxa"/>
            <w:tcBorders/>
            <w:shd w:fill="FFFFFF" w:val="clear"/>
            <w:tcMar>
              <w:bottom w:w="0" w:type="dxa"/>
            </w:tcMar>
            <w:vAlign w:val="center"/>
          </w:tcPr>
          <w:p>
            <w:pPr>
              <w:pStyle w:val="TableContents"/>
              <w:bidi w:val="0"/>
              <w:spacing w:before="0" w:after="283"/>
              <w:jc w:val="both"/>
              <w:rPr/>
            </w:pPr>
            <w:hyperlink r:id="rId15">
              <w:r>
                <w:rPr>
                  <w:rStyle w:val="InternetLink"/>
                  <w:sz w:val="20"/>
                </w:rPr>
                <w:t>Warrant Agreement, dated January 11, 2021, by and between Global Partner Acquisition Corp II and Continental Stock Transfer &amp; Trust Company, as warrant agent (incorporated by reference to Exhibit 4.1 to Global Partner Acquisition Corp II’s Current Report on Form 8-K, filed with the SEC on January 15, 2021).</w:t>
              </w:r>
            </w:hyperlink>
          </w:p>
        </w:tc>
      </w:tr>
      <w:tr>
        <w:trPr/>
        <w:tc>
          <w:tcPr>
            <w:tcW w:w="743" w:type="dxa"/>
            <w:tcBorders/>
            <w:shd w:fill="CCEEFF" w:val="clear"/>
            <w:tcMar>
              <w:bottom w:w="0" w:type="dxa"/>
            </w:tcMar>
            <w:vAlign w:val="center"/>
          </w:tcPr>
          <w:p>
            <w:pPr>
              <w:pStyle w:val="TableContents"/>
              <w:bidi w:val="0"/>
              <w:spacing w:before="0" w:after="283"/>
              <w:jc w:val="left"/>
              <w:rPr>
                <w:sz w:val="20"/>
              </w:rPr>
            </w:pPr>
            <w:r>
              <w:rPr>
                <w:sz w:val="20"/>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2" w:type="dxa"/>
            <w:tcBorders/>
            <w:shd w:fill="CCEEFF" w:val="clear"/>
            <w:tcMar>
              <w:bottom w:w="0" w:type="dxa"/>
            </w:tcMar>
            <w:vAlign w:val="center"/>
          </w:tcPr>
          <w:p>
            <w:pPr>
              <w:pStyle w:val="TableContents"/>
              <w:bidi w:val="0"/>
              <w:spacing w:before="0" w:after="283"/>
              <w:jc w:val="both"/>
              <w:rPr/>
            </w:pPr>
            <w:hyperlink r:id="rId16">
              <w:r>
                <w:rPr>
                  <w:rStyle w:val="InternetLink"/>
                  <w:sz w:val="20"/>
                </w:rPr>
                <w:t>Form of common warrant issued in the private placement between the Company and certain investors pursuant to a terms sheet dated December 31, 2024 (incorporated by reference to Exhibit 4.7 of the Company’s Registration Statement on Form S-1 filed with the SEC on May 1, 2025).</w:t>
              </w:r>
            </w:hyperlink>
          </w:p>
        </w:tc>
      </w:tr>
      <w:tr>
        <w:trPr/>
        <w:tc>
          <w:tcPr>
            <w:tcW w:w="743" w:type="dxa"/>
            <w:tcBorders/>
            <w:shd w:fill="FFFFFF" w:val="clear"/>
            <w:tcMar>
              <w:bottom w:w="0" w:type="dxa"/>
            </w:tcMar>
            <w:vAlign w:val="center"/>
          </w:tcPr>
          <w:p>
            <w:pPr>
              <w:pStyle w:val="TableContents"/>
              <w:bidi w:val="0"/>
              <w:spacing w:before="0" w:after="283"/>
              <w:jc w:val="left"/>
              <w:rPr>
                <w:sz w:val="20"/>
              </w:rPr>
            </w:pPr>
            <w:r>
              <w:rPr>
                <w:sz w:val="20"/>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2" w:type="dxa"/>
            <w:tcBorders/>
            <w:shd w:fill="FFFFFF" w:val="clear"/>
            <w:tcMar>
              <w:bottom w:w="0" w:type="dxa"/>
            </w:tcMar>
            <w:vAlign w:val="center"/>
          </w:tcPr>
          <w:p>
            <w:pPr>
              <w:pStyle w:val="TableContents"/>
              <w:bidi w:val="0"/>
              <w:spacing w:before="0" w:after="283"/>
              <w:jc w:val="both"/>
              <w:rPr/>
            </w:pPr>
            <w:hyperlink r:id="rId17">
              <w:r>
                <w:rPr>
                  <w:rStyle w:val="InternetLink"/>
                  <w:sz w:val="20"/>
                </w:rPr>
                <w:t>Form of common warrant issued in connection with the loan to the Company pursuant to a terms sheet dated December 6, 2024 (incorporated by reference to Exhibit 4.8 of the Company’s Registration Statement on Form S-1 filed with the SEC on May 1, 2025).</w:t>
              </w:r>
            </w:hyperlink>
          </w:p>
        </w:tc>
      </w:tr>
      <w:tr>
        <w:trPr/>
        <w:tc>
          <w:tcPr>
            <w:tcW w:w="743" w:type="dxa"/>
            <w:tcBorders/>
            <w:shd w:fill="CCEEFF" w:val="clear"/>
            <w:tcMar>
              <w:bottom w:w="0" w:type="dxa"/>
            </w:tcMar>
            <w:vAlign w:val="center"/>
          </w:tcPr>
          <w:p>
            <w:pPr>
              <w:pStyle w:val="TableContents"/>
              <w:bidi w:val="0"/>
              <w:spacing w:before="0" w:after="283"/>
              <w:jc w:val="left"/>
              <w:rPr>
                <w:sz w:val="20"/>
              </w:rPr>
            </w:pPr>
            <w:r>
              <w:rPr>
                <w:sz w:val="20"/>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2" w:type="dxa"/>
            <w:tcBorders/>
            <w:shd w:fill="CCEEFF" w:val="clear"/>
            <w:tcMar>
              <w:bottom w:w="0" w:type="dxa"/>
            </w:tcMar>
            <w:vAlign w:val="center"/>
          </w:tcPr>
          <w:p>
            <w:pPr>
              <w:pStyle w:val="TableContents"/>
              <w:bidi w:val="0"/>
              <w:spacing w:before="0" w:after="283"/>
              <w:jc w:val="both"/>
              <w:rPr/>
            </w:pPr>
            <w:hyperlink r:id="rId18">
              <w:r>
                <w:rPr>
                  <w:rStyle w:val="InternetLink"/>
                  <w:sz w:val="20"/>
                </w:rPr>
                <w:t>Form of common warrant issued in connection with the loan to the Company pursuant to a terms sheet dated December 13, 2024 (incorporated by reference to Exhibit 4.9 of the Company’s Registration Statement on Form S-1 filed with the SEC on May 1, 2025).</w:t>
              </w:r>
            </w:hyperlink>
          </w:p>
        </w:tc>
      </w:tr>
      <w:tr>
        <w:trPr/>
        <w:tc>
          <w:tcPr>
            <w:tcW w:w="743" w:type="dxa"/>
            <w:tcBorders/>
            <w:shd w:fill="FFFFFF" w:val="clear"/>
            <w:tcMar>
              <w:bottom w:w="0" w:type="dxa"/>
            </w:tcMar>
            <w:vAlign w:val="center"/>
          </w:tcPr>
          <w:p>
            <w:pPr>
              <w:pStyle w:val="TableContents"/>
              <w:bidi w:val="0"/>
              <w:spacing w:before="0" w:after="283"/>
              <w:jc w:val="left"/>
              <w:rPr>
                <w:sz w:val="20"/>
              </w:rPr>
            </w:pPr>
            <w:r>
              <w:rPr>
                <w:sz w:val="20"/>
              </w:rPr>
              <w:t>4.10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2" w:type="dxa"/>
            <w:tcBorders/>
            <w:shd w:fill="FFFFFF" w:val="clear"/>
            <w:tcMar>
              <w:bottom w:w="0" w:type="dxa"/>
            </w:tcMar>
            <w:vAlign w:val="center"/>
          </w:tcPr>
          <w:p>
            <w:pPr>
              <w:pStyle w:val="TableContents"/>
              <w:bidi w:val="0"/>
              <w:spacing w:before="0" w:after="283"/>
              <w:jc w:val="both"/>
              <w:rPr/>
            </w:pPr>
            <w:hyperlink r:id="rId19">
              <w:r>
                <w:rPr>
                  <w:rStyle w:val="InternetLink"/>
                  <w:sz w:val="20"/>
                </w:rPr>
                <w:t>Form of Warrant (incorporated by reference to Exhibit 4.2 of the Company’s Current Report on Form 8-K filed with the SEC on December 31, 2025).</w:t>
              </w:r>
            </w:hyperlink>
          </w:p>
        </w:tc>
      </w:tr>
      <w:tr>
        <w:trPr/>
        <w:tc>
          <w:tcPr>
            <w:tcW w:w="743" w:type="dxa"/>
            <w:tcBorders/>
            <w:shd w:fill="CCEEFF" w:val="clear"/>
            <w:tcMar>
              <w:bottom w:w="0" w:type="dxa"/>
            </w:tcMar>
            <w:vAlign w:val="center"/>
          </w:tcPr>
          <w:p>
            <w:pPr>
              <w:pStyle w:val="TableContents"/>
              <w:bidi w:val="0"/>
              <w:spacing w:before="0" w:after="283"/>
              <w:jc w:val="left"/>
              <w:rPr>
                <w:sz w:val="20"/>
              </w:rPr>
            </w:pPr>
            <w:r>
              <w:rPr>
                <w:sz w:val="20"/>
              </w:rPr>
              <w:t>4.11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2" w:type="dxa"/>
            <w:tcBorders/>
            <w:shd w:fill="CCEEFF" w:val="clear"/>
            <w:tcMar>
              <w:bottom w:w="0" w:type="dxa"/>
            </w:tcMar>
            <w:vAlign w:val="center"/>
          </w:tcPr>
          <w:p>
            <w:pPr>
              <w:pStyle w:val="TableContents"/>
              <w:bidi w:val="0"/>
              <w:spacing w:before="0" w:after="283"/>
              <w:jc w:val="both"/>
              <w:rPr/>
            </w:pPr>
            <w:hyperlink r:id="rId20">
              <w:r>
                <w:rPr>
                  <w:rStyle w:val="InternetLink"/>
                  <w:sz w:val="20"/>
                </w:rPr>
                <w:t>Form of Subordinated Debt Indenture (incorporated by reference to Exhibit 4.7 of the Company’s Registration Statement on Form S-3 filed with the SEC on April 9, 2026).</w:t>
              </w:r>
            </w:hyperlink>
          </w:p>
        </w:tc>
      </w:tr>
      <w:tr>
        <w:trPr/>
        <w:tc>
          <w:tcPr>
            <w:tcW w:w="743" w:type="dxa"/>
            <w:tcBorders/>
            <w:shd w:fill="FFFFFF" w:val="clear"/>
            <w:tcMar>
              <w:bottom w:w="0" w:type="dxa"/>
            </w:tcMar>
            <w:vAlign w:val="center"/>
          </w:tcPr>
          <w:p>
            <w:pPr>
              <w:pStyle w:val="TableContents"/>
              <w:bidi w:val="0"/>
              <w:spacing w:before="0" w:after="283"/>
              <w:jc w:val="left"/>
              <w:rPr>
                <w:sz w:val="20"/>
              </w:rPr>
            </w:pPr>
            <w:r>
              <w:rPr>
                <w:sz w:val="20"/>
              </w:rPr>
              <w:t>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2" w:type="dxa"/>
            <w:tcBorders/>
            <w:shd w:fill="FFFFFF" w:val="clear"/>
            <w:tcMar>
              <w:bottom w:w="0" w:type="dxa"/>
            </w:tcMar>
            <w:vAlign w:val="center"/>
          </w:tcPr>
          <w:p>
            <w:pPr>
              <w:pStyle w:val="TableContents"/>
              <w:bidi w:val="0"/>
              <w:spacing w:before="0" w:after="283"/>
              <w:jc w:val="both"/>
              <w:rPr/>
            </w:pPr>
            <w:hyperlink r:id="rId21">
              <w:r>
                <w:rPr>
                  <w:rStyle w:val="InternetLink"/>
                  <w:sz w:val="20"/>
                </w:rPr>
                <w:t>Form of Senior Debt Indenture (incorporated by reference to Exhibit 4.8 of the Company’s Registration Statement on Form S-3 filed with the SEC on April 9, 2026).</w:t>
              </w:r>
            </w:hyperlink>
          </w:p>
        </w:tc>
      </w:tr>
      <w:tr>
        <w:trPr/>
        <w:tc>
          <w:tcPr>
            <w:tcW w:w="743" w:type="dxa"/>
            <w:tcBorders/>
            <w:shd w:fill="CCEEFF" w:val="clear"/>
            <w:tcMar>
              <w:bottom w:w="0" w:type="dxa"/>
            </w:tcMar>
            <w:vAlign w:val="center"/>
          </w:tcPr>
          <w:p>
            <w:pPr>
              <w:pStyle w:val="TableContents"/>
              <w:bidi w:val="0"/>
              <w:spacing w:before="0" w:after="283"/>
              <w:jc w:val="left"/>
              <w:rPr>
                <w:sz w:val="20"/>
              </w:rPr>
            </w:pPr>
            <w:r>
              <w:rPr>
                <w:sz w:val="20"/>
              </w:rPr>
              <w:t>4.13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2" w:type="dxa"/>
            <w:tcBorders/>
            <w:shd w:fill="CCEEFF" w:val="clear"/>
            <w:tcMar>
              <w:bottom w:w="0" w:type="dxa"/>
            </w:tcMar>
            <w:vAlign w:val="center"/>
          </w:tcPr>
          <w:p>
            <w:pPr>
              <w:pStyle w:val="TableContents"/>
              <w:bidi w:val="0"/>
              <w:spacing w:before="0" w:after="283"/>
              <w:jc w:val="both"/>
              <w:rPr/>
            </w:pPr>
            <w:hyperlink r:id="rId22">
              <w:r>
                <w:rPr>
                  <w:rStyle w:val="InternetLink"/>
                  <w:sz w:val="20"/>
                </w:rPr>
                <w:t>Form of Secured Debt Indenture (incorporated by reference to Exhibit 4.9 of the Company’s Registration Statement on Form S-3 filed with the SEC on April 9, 2026).</w:t>
              </w:r>
            </w:hyperlink>
          </w:p>
        </w:tc>
      </w:tr>
      <w:tr>
        <w:trPr/>
        <w:tc>
          <w:tcPr>
            <w:tcW w:w="7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FFFF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Amended and Restated 2024 Equity Incentive Plan. (incorporated by reference to Exhibit 10.1 to the Company’s Current Report on Form 8-K, filed with the SEC on June 3, 2026).</w:t>
              </w:r>
            </w:hyperlink>
          </w:p>
        </w:tc>
      </w:tr>
      <w:tr>
        <w:trPr/>
        <w:tc>
          <w:tcPr>
            <w:tcW w:w="7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CCEEFF" w:val="clear"/>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Form of Restricted Stock Unit Agreement under the 2024 Equity Incentive Plan.</w:t>
              </w:r>
            </w:hyperlink>
          </w:p>
        </w:tc>
      </w:tr>
      <w:tr>
        <w:trPr/>
        <w:tc>
          <w:tcPr>
            <w:tcW w:w="7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FFFFFF" w:val="clear"/>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the Principal Executive Officer pursuant to Rule 13a-14(a) and Rule 15d-14(a) under the Securities Exchange Act of 1934, as amended, as adopted pursuant to Section 302 of the Sarbanes Oxley Act of 2002.</w:t>
              </w:r>
            </w:hyperlink>
          </w:p>
        </w:tc>
      </w:tr>
      <w:tr>
        <w:trPr/>
        <w:tc>
          <w:tcPr>
            <w:tcW w:w="7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CCEEFF" w:val="clear"/>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the Principal Financial Officer pursuant to Rule 13a-14(a) and Rule 15d-14(a) under the Securities Exchange Act of 1934, as amended, as adopted pursuant to Section 302 of the Sarbanes Oxley Act of 2002.</w:t>
              </w:r>
            </w:hyperlink>
          </w:p>
        </w:tc>
      </w:tr>
      <w:tr>
        <w:trPr/>
        <w:tc>
          <w:tcPr>
            <w:tcW w:w="7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FFFFFF" w:val="clear"/>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the Principal Executive Officer pursuant to 18 U.S.C. Section 1350, as adopted pursuant to Section 906 of the Sarbanes Oxley Act of 2002.</w:t>
              </w:r>
            </w:hyperlink>
          </w:p>
        </w:tc>
      </w:tr>
      <w:tr>
        <w:trPr/>
        <w:tc>
          <w:tcPr>
            <w:tcW w:w="7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CCEEFF" w:val="clear"/>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the Principal Financial Officer pursuant to 18 U.S.C. Section 1350, as adopted pursuant to Section 906 of the Sarbanes Oxley Act of 2002.</w:t>
              </w:r>
            </w:hyperlink>
          </w:p>
        </w:tc>
      </w:tr>
      <w:tr>
        <w:trPr/>
        <w:tc>
          <w:tcPr>
            <w:tcW w:w="7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7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40"/>
        <w:gridCol w:w="120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45"/>
        <w:gridCol w:w="159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 and exhibits to this Exhibit omitted pursuant to Regulation S-K Item 601(b)(2). The Company agrees to furnish supplementally a copy of any omitted schedule or exhibit to the SEC upon request.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32" w:name="a_019"/>
      <w:bookmarkEnd w:id="832"/>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1970"/>
        <w:gridCol w:w="590"/>
        <w:gridCol w:w="3650"/>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42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2026</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Udaychandra Devasper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Udaychandra Devasper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833" w:name="ex10-2.htm"/>
      <w:bookmarkStart w:id="834" w:name="ksex102"/>
      <w:bookmarkEnd w:id="833"/>
      <w:bookmarkEnd w:id="83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SHARE UNIT GRANT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conditions of the Stardust Power Inc. 2024 Equity Incentive Plan, as amended from time to time (the “</w:t>
      </w:r>
      <w:r>
        <w:rPr>
          <w:rFonts w:ascii="Times New Roman;Times;Serif" w:hAnsi="Times New Roman;Times;Serif"/>
          <w:b/>
          <w:i w:val="false"/>
          <w:caps w:val="false"/>
          <w:smallCaps w:val="false"/>
          <w:sz w:val="20"/>
          <w:u w:val="single"/>
        </w:rPr>
        <w:t>Plan</w:t>
      </w:r>
      <w:r>
        <w:rPr>
          <w:rFonts w:ascii="Times New Roman;Times;Serif" w:hAnsi="Times New Roman;Times;Serif"/>
          <w:b w:val="false"/>
          <w:i w:val="false"/>
          <w:caps w:val="false"/>
          <w:smallCaps w:val="false"/>
          <w:sz w:val="20"/>
        </w:rPr>
        <w:t>”), Stardust Power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hereby grants to the individual listed below (“</w:t>
      </w:r>
      <w:r>
        <w:rPr>
          <w:rFonts w:ascii="Times New Roman;Times;Serif" w:hAnsi="Times New Roman;Times;Serif"/>
          <w:b/>
          <w:i w:val="false"/>
          <w:caps w:val="false"/>
          <w:smallCaps w:val="false"/>
          <w:sz w:val="20"/>
          <w:u w:val="single"/>
        </w:rPr>
        <w:t>you</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u w:val="single"/>
        </w:rPr>
        <w:t>Participant</w:t>
      </w:r>
      <w:r>
        <w:rPr>
          <w:rFonts w:ascii="Times New Roman;Times;Serif" w:hAnsi="Times New Roman;Times;Serif"/>
          <w:b w:val="false"/>
          <w:i w:val="false"/>
          <w:caps w:val="false"/>
          <w:smallCaps w:val="false"/>
          <w:sz w:val="20"/>
        </w:rPr>
        <w:t>”) the number of restricted share units (the “</w:t>
      </w:r>
      <w:r>
        <w:rPr>
          <w:rFonts w:ascii="Times New Roman;Times;Serif" w:hAnsi="Times New Roman;Times;Serif"/>
          <w:b/>
          <w:i w:val="false"/>
          <w:caps w:val="false"/>
          <w:smallCaps w:val="false"/>
          <w:sz w:val="20"/>
          <w:u w:val="single"/>
        </w:rPr>
        <w:t>RSUs</w:t>
      </w:r>
      <w:r>
        <w:rPr>
          <w:rFonts w:ascii="Times New Roman;Times;Serif" w:hAnsi="Times New Roman;Times;Serif"/>
          <w:b w:val="false"/>
          <w:i w:val="false"/>
          <w:caps w:val="false"/>
          <w:smallCaps w:val="false"/>
          <w:sz w:val="20"/>
        </w:rPr>
        <w:t>”) set forth below. This award of RSUs (this “</w:t>
      </w:r>
      <w:r>
        <w:rPr>
          <w:rFonts w:ascii="Times New Roman;Times;Serif" w:hAnsi="Times New Roman;Times;Serif"/>
          <w:b/>
          <w:i w:val="false"/>
          <w:caps w:val="false"/>
          <w:smallCaps w:val="false"/>
          <w:sz w:val="20"/>
          <w:u w:val="single"/>
        </w:rPr>
        <w:t>Award</w:t>
      </w:r>
      <w:r>
        <w:rPr>
          <w:rFonts w:ascii="Times New Roman;Times;Serif" w:hAnsi="Times New Roman;Times;Serif"/>
          <w:b w:val="false"/>
          <w:i w:val="false"/>
          <w:caps w:val="false"/>
          <w:smallCaps w:val="false"/>
          <w:sz w:val="20"/>
        </w:rPr>
        <w:t xml:space="preserve">”) is subject to the terms and conditions set forth herein and in the Restricted Share Unit Agreement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and the Plan, each of which is incorporated herein by reference. Capitalized terms used but not defined herein shall have the meanings set forth in the Plan or the Agreement.</w:t>
      </w:r>
    </w:p>
    <w:p>
      <w:pPr>
        <w:pStyle w:val="TextBody"/>
        <w:bidi w:val="0"/>
        <w:spacing w:before="0" w:after="0"/>
        <w:ind w:left="0" w:right="0" w:firstLine="72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3425"/>
        <w:gridCol w:w="1835"/>
      </w:tblGrid>
      <w:tr>
        <w:trPr/>
        <w:tc>
          <w:tcPr>
            <w:tcW w:w="34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 of Award:</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 Units</w:t>
            </w:r>
          </w:p>
        </w:tc>
      </w:tr>
      <w:tr>
        <w:trPr/>
        <w:tc>
          <w:tcPr>
            <w:tcW w:w="3425"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w:t>
            </w:r>
          </w:p>
        </w:tc>
        <w:tc>
          <w:tcPr>
            <w:tcW w:w="1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25"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Grant:</w:t>
            </w:r>
          </w:p>
        </w:tc>
        <w:tc>
          <w:tcPr>
            <w:tcW w:w="1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25"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Restricted Share Units:</w:t>
            </w:r>
          </w:p>
        </w:tc>
        <w:tc>
          <w:tcPr>
            <w:tcW w:w="1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25"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2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Schedule:</w:t>
            </w:r>
          </w:p>
        </w:tc>
        <w:tc>
          <w:tcPr>
            <w:tcW w:w="183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your signature below, you agree to be bound by the terms and conditions of the Plan, the Agreement and this Restricted Share Unit Grant Notice (this “</w:t>
      </w:r>
      <w:r>
        <w:rPr>
          <w:rFonts w:ascii="Times New Roman;Times;Serif" w:hAnsi="Times New Roman;Times;Serif"/>
          <w:b/>
          <w:i w:val="false"/>
          <w:caps w:val="false"/>
          <w:smallCaps w:val="false"/>
          <w:sz w:val="20"/>
          <w:u w:val="single"/>
        </w:rPr>
        <w:t>Grant Notice</w:t>
      </w:r>
      <w:r>
        <w:rPr>
          <w:rFonts w:ascii="Times New Roman;Times;Serif" w:hAnsi="Times New Roman;Times;Serif"/>
          <w:b w:val="false"/>
          <w:i w:val="false"/>
          <w:caps w:val="false"/>
          <w:smallCaps w:val="false"/>
          <w:sz w:val="20"/>
        </w:rPr>
        <w:t>”). You acknowledge that you have reviewed the Agreement, the Plan and this Grant Notice in their entirety and fully understand all provisions of the Agreement, the Plan and this Grant Notice, and have had an opportunity to obtain the advice of counsel prior to executing this Grant Notice. You hereby agree to accept as binding, conclusive and final all decisions or interpretations of the Administrator regarding any questions or determinations arising under the Agreement, the Plan or this Grant Notice. This Grant Notice may be executed in one or more counterparts (including portable document format (.pdf) and facsimile counterparts), each of which shall be deemed to be an original, but all of which together shall constitute one and the same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of this Grant Notice or the Agreement, if you have not executed this Grant Notice within 90 days following the Date of Grant set forth above, you will be deemed to have accepted this Award, subject to all of the terms and conditions of this Grant Notice, the Agreement and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has caused this Grant Notice to be executed by an officer thereunto duly authorized, and the Participant has executed this Grant Notice, effective for all purposes as provided above.</w:t>
      </w:r>
    </w:p>
    <w:p>
      <w:pPr>
        <w:pStyle w:val="TextBody"/>
        <w:bidi w:val="0"/>
        <w:spacing w:before="0" w:after="0"/>
        <w:ind w:left="0" w:right="0" w:firstLine="720"/>
        <w:jc w:val="both"/>
        <w:rPr>
          <w:caps w:val="false"/>
          <w:smallCaps w:val="false"/>
        </w:rPr>
      </w:pPr>
      <w:r>
        <w:rPr>
          <w:caps w:val="false"/>
          <w:smallCaps w:val="false"/>
        </w:rPr>
        <w:t> </w:t>
      </w:r>
    </w:p>
    <w:tbl>
      <w:tblPr>
        <w:tblW w:w="2344" w:type="dxa"/>
        <w:jc w:val="left"/>
        <w:tblInd w:w="0" w:type="dxa"/>
        <w:tblLayout w:type="fixed"/>
        <w:tblCellMar>
          <w:top w:w="0" w:type="dxa"/>
          <w:left w:w="0" w:type="dxa"/>
          <w:bottom w:w="0" w:type="dxa"/>
          <w:right w:w="0" w:type="dxa"/>
        </w:tblCellMar>
      </w:tblPr>
      <w:tblGrid>
        <w:gridCol w:w="75"/>
        <w:gridCol w:w="883"/>
        <w:gridCol w:w="1386"/>
      </w:tblGrid>
      <w:tr>
        <w:trPr/>
        <w:tc>
          <w:tcPr>
            <w:tcW w:w="75" w:type="dxa"/>
            <w:tcBorders/>
            <w:vAlign w:val="center"/>
          </w:tcPr>
          <w:p>
            <w:pPr>
              <w:pStyle w:val="TableContents"/>
              <w:bidi w:val="0"/>
              <w:spacing w:before="0" w:after="283"/>
              <w:jc w:val="left"/>
              <w:rPr/>
            </w:pPr>
            <w:r>
              <w:rPr/>
              <w:t> </w:t>
            </w:r>
          </w:p>
        </w:tc>
        <w:tc>
          <w:tcPr>
            <w:tcW w:w="226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Stardust Power Inc.</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8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3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3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6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PARTICIPANT</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c>
          <w:tcPr>
            <w:tcW w:w="138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386"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Restricted Share Unit Grant Notice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SHARE UNIT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Restricted Share Unit Agreement (together with the Grant Notice to which this Agreement is attached ,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is made as of the Date of Grant set forth in the Grant Notice to which this Agreement is attached by and between Stardust Power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and the Participant. Capitalized terms used but not specifically defined herein shall have the meanings specified in the Plan or the Grant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Award</w:t>
      </w:r>
      <w:r>
        <w:rPr>
          <w:rFonts w:ascii="Times New Roman;Times;Serif" w:hAnsi="Times New Roman;Times;Serif"/>
          <w:b w:val="false"/>
          <w:i w:val="false"/>
          <w:caps w:val="false"/>
          <w:smallCaps w:val="false"/>
          <w:sz w:val="20"/>
        </w:rPr>
        <w:t>. In consideration of the Participant’s past and/or continued employment with, or service to, the Company or a member of the Company Group and for other good and valuable consideration, the receipt and sufficiency of which is hereby acknowledged, effective as of the Date of Grant set forth in the Grant Notice (the “</w:t>
      </w:r>
      <w:r>
        <w:rPr>
          <w:rFonts w:ascii="Times New Roman;Times;Serif" w:hAnsi="Times New Roman;Times;Serif"/>
          <w:b/>
          <w:i w:val="false"/>
          <w:caps w:val="false"/>
          <w:smallCaps w:val="false"/>
          <w:sz w:val="20"/>
          <w:u w:val="single"/>
        </w:rPr>
        <w:t>Date of Grant</w:t>
      </w:r>
      <w:r>
        <w:rPr>
          <w:rFonts w:ascii="Times New Roman;Times;Serif" w:hAnsi="Times New Roman;Times;Serif"/>
          <w:b w:val="false"/>
          <w:i w:val="false"/>
          <w:caps w:val="false"/>
          <w:smallCaps w:val="false"/>
          <w:sz w:val="20"/>
        </w:rPr>
        <w:t>”), the Company hereby grants to the Participant the number of RSUs set forth in the Grant Notice on the terms and conditions set forth in the Grant Notice, this Agreement and the Plan, which is incorporated herein by reference as a part of this Agreement. In the event of any inconsistency between the Plan and this Agreement, the terms of the Plan shall control. To the extent vested, each RSU represents the right to receive one Share, subject to the terms and conditions set forth in the Grant Notice, this Agreement and the Plan. Unless and until the RSUs have become vested in the manner set forth in the Grant Notice, the Participant will have no right to receive any Shares or other payments in respect of the RSUs. Prior to settlement of this Award, the RSUs and this Award represent an unsecured obligation of the Company, payable only from the general assets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Vesting of RSUs</w:t>
      </w:r>
      <w:r>
        <w:rPr>
          <w:rFonts w:ascii="Times New Roman;Times;Serif" w:hAnsi="Times New Roman;Times;Serif"/>
          <w:b w:val="false"/>
          <w:i w:val="false"/>
          <w:caps w:val="false"/>
          <w:smallCaps w:val="false"/>
          <w:sz w:val="20"/>
        </w:rPr>
        <w:t>. the RSUs shall vest in accordance with the vesting schedule set forth in the Grant Notice. Upon the Participant’s Termination of Service prior to the vesting of all of the RSUs, any unvested RSUs (and all rights arising from such RSUs and from being a holder thereof) will terminate automatically without any further action by the Company and will be forfeited without further notice and at no cost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Dividend Equivalent Rights</w:t>
      </w:r>
      <w:r>
        <w:rPr>
          <w:rFonts w:ascii="Times New Roman;Times;Serif" w:hAnsi="Times New Roman;Times;Serif"/>
          <w:b w:val="false"/>
          <w:i w:val="false"/>
          <w:caps w:val="false"/>
          <w:smallCaps w:val="false"/>
          <w:sz w:val="20"/>
        </w:rPr>
        <w:t>. In the event that the Company declares and pays a regular cash dividend in respect of its outstanding Shares (which, for clarity, does not include any extraordinary cash dividend) and, on the record date for such dividend, the Participant holds RSUs granted pursuant to this Agreement that have not been settled, the Participant shall not be entitled to receive such cash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Settlement of RSUs</w:t>
      </w:r>
      <w:r>
        <w:rPr>
          <w:rFonts w:ascii="Times New Roman;Times;Serif" w:hAnsi="Times New Roman;Times;Serif"/>
          <w:b w:val="false"/>
          <w:i w:val="false"/>
          <w:caps w:val="false"/>
          <w:smallCaps w:val="false"/>
          <w:sz w:val="20"/>
        </w:rPr>
        <w:t xml:space="preserve">. As soon as administratively practicable following the vesting of RSUs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but in no event later than 60 days after such vesting date, the Company shall deliver to the Participant a number of Shares equal to the number of RSUs subject to this Award. All Shares issued hereunder shall be delivered either by delivering one or more certificates for such shares to the Participant or by entering such shares in book-entry form, as determined by the Administrator in its sole discretion. The value of Shares shall not bear any interest owing to the passage of time. Neither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nor any action taken pursuant to or in accordance with this Agreement shall be construed to create a trust or a funded or secured obligation of any kind.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Tax Withholding</w:t>
      </w:r>
      <w:r>
        <w:rPr>
          <w:rFonts w:ascii="Times New Roman;Times;Serif" w:hAnsi="Times New Roman;Times;Serif"/>
          <w:b w:val="false"/>
          <w:i w:val="false"/>
          <w:caps w:val="false"/>
          <w:smallCaps w:val="false"/>
          <w:sz w:val="20"/>
        </w:rPr>
        <w:t>. To the extent that the receipt, vesting or settlement of this Award results in compensation income or wages to the Participant for federal, state, local and/or foreign tax purposes, the Participant shall make arrangements satisfactory to the Company regarding the payment of any income tax, social insurance contribution or other applicable taxes that are required to be withheld in respect of this Award, which arrangements include the delivery of cash or cash equivalents, Shares (including previously owned Shares (which are not subject to any pledge or other security interest), net settlement, a broker-assisted sale, or other cashless withholding or reduction of the amount of shares otherwise issuable or delivered pursuant to this Award), other property, or any other legal consideration the Administrator deems appropriate. If such tax obligations are satisfied through net settlement or the surrender of previously owned Shares, the maximum number of Shares that may be so withheld (or surrendered) shall be the number of Shares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Administrator. Any fraction of a Share required to satisfy such tax obligations shall be disregarded and the amount due shall be paid instead in cash to the Participant.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Administrator, the Company or a member of the Company Group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Non-Transferability</w:t>
      </w:r>
      <w:r>
        <w:rPr>
          <w:rFonts w:ascii="Times New Roman;Times;Serif" w:hAnsi="Times New Roman;Times;Serif"/>
          <w:b w:val="false"/>
          <w:i w:val="false"/>
          <w:caps w:val="false"/>
          <w:smallCaps w:val="false"/>
          <w:sz w:val="20"/>
        </w:rPr>
        <w:t>. During the lifetime of the Participant, the RSUs may not be sold, pledged, assigned or transferred in any manner other than by will or the laws of descent and distribution, unless and until the Shares underlying the RSUs have been issued, and all restrictions applicable to such Shares have lapsed. Neither the RSUs nor any interest or right therein shall be liable for the debts, contracts or engagements of the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Compliance with Applicable Law</w:t>
      </w:r>
      <w:r>
        <w:rPr>
          <w:rFonts w:ascii="Times New Roman;Times;Serif" w:hAnsi="Times New Roman;Times;Serif"/>
          <w:b w:val="false"/>
          <w:i w:val="false"/>
          <w:caps w:val="false"/>
          <w:smallCaps w:val="false"/>
          <w:sz w:val="20"/>
        </w:rPr>
        <w:t>. Notwithstanding any provision of this Agreement to the contrary, the issuance of Shares hereunder will be subject to compliance with all applicable requirements of applicable law with respect to such securities and with the requirements of any stock exchange or market system upon which the Shares may then be listed. No Shares will be issued hereunder if such issuance would constitute a violation of any applicable law or regulation or the requirements of any stock exchange or market system upon which the Shares may then be listed.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or regulation and to make any representation or warranty with respect to such compliance as may be requested by the Company.</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Rights as a Shareholder</w:t>
      </w:r>
      <w:r>
        <w:rPr>
          <w:rFonts w:ascii="Times New Roman;Times;Serif" w:hAnsi="Times New Roman;Times;Serif"/>
          <w:b w:val="false"/>
          <w:i w:val="false"/>
          <w:caps w:val="false"/>
          <w:smallCaps w:val="false"/>
          <w:sz w:val="20"/>
        </w:rPr>
        <w:t>. The Participant shall have no rights as a shareholder of the Company with respect to any Shares that may become deliverable hereunder unless and until the Participant has become the holder of record of such Shares, and no adjustments shall be made for dividends in cash or other property, distributions or other rights in respect of any such Shares, except as otherwise specifically provided for in the Plan or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Execution of Receipts and Releases</w:t>
      </w:r>
      <w:r>
        <w:rPr>
          <w:rFonts w:ascii="Times New Roman;Times;Serif" w:hAnsi="Times New Roman;Times;Serif"/>
          <w:b w:val="false"/>
          <w:i w:val="false"/>
          <w:caps w:val="false"/>
          <w:smallCaps w:val="false"/>
          <w:sz w:val="20"/>
        </w:rPr>
        <w:t xml:space="preserve">. Any issuance or transfer of Shares or other property to the Participant or the Participant’s legal representative, heir, legatee or distributee, in accordance with this Agreement shall be in full satisfaction of all claims of such person hereunder. As a condition precedent to such payment or issuance, the Company may require the Participant or the Participant’s legal representative, heir, legatee or distributee to execute (and not revoke within any time provided to do so) a release and receipt therefor in such form as it shall determine appropriate;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review period under such release will not modify the date of settlement with respect to vested RSUs.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No Right to Continued Employment, Service or Awards</w:t>
      </w:r>
      <w:r>
        <w:rPr>
          <w:rFonts w:ascii="Times New Roman;Times;Serif" w:hAnsi="Times New Roman;Times;Serif"/>
          <w:b w:val="false"/>
          <w:i w:val="false"/>
          <w:caps w:val="false"/>
          <w:smallCaps w:val="false"/>
          <w:sz w:val="20"/>
        </w:rPr>
        <w:t>. Nothing in the adoption of the Plan, nor the award of the RSUs thereunder pursuant to the Grant Notice and this Agreement, shall confer upon the Participant the right to continued employment by, or a continued service relationship with, the Company or any member of the Company Group, or any other entity, or affect in any way the right of the Company or any such member of the Company Group, or any other entity to terminate such employment or other service relationship at any time. Unless otherwise provided in a written employment agreement or by applicable law, the Participant’s employment by the Company, or any such member of the Company Group, or any other entity shall be on an at-will basis, and the employment relationship may be terminated at any time by either the Participant or the Company, or any such member of the Company Group, or other entity for any reason whatsoever, with or without cause or notice. Any question as to whether and when there has been a termination of such employment, and the cause of such termination, shall be determined by the Administrator or its delegate, and such determination shall be final, conclusive and binding for all purposes. The grant of the RSUs is a one-time benefit that was made at the sole discretion of the Company and does not create any contractual or other right to receive a grant of Awards or benefits in the future in lieu of Awards in the future, including any adjustment to wages, overtime, benefits or other compensation. Any future Awards will be granted at the sole discretion of the Company.</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under this Agreement shall be in writing and shall be delivered to the parties at the following addresses (or at such other address for a party as shall be specified by like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unless otherwise designated by the Company in a written notice to the Participant (or other holder):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Stardust Power Inc.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Roshan Pujari</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E. Putnam Ave, Suite 378</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CT 06830</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Participant, at the Participant’s last known address on file with the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that is delivered personally or by overnight courier or telecopier in the manner provided herein shall be deemed to have been duly given to the Participant when it is mailed by the Company or, if such notice is not mailed to the Participant, upon receipt by the Participant. Any notice that is addressed and mailed in the manner herein provided shall be conclusively presumed to have been given to the party to whom it is addressed at the close of business, local time of the recipient, on the fourth day after the day it is so placed in the mail.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Consent to Electronic Delivery; Electronic Signature</w:t>
      </w:r>
      <w:r>
        <w:rPr>
          <w:rFonts w:ascii="Times New Roman;Times;Serif" w:hAnsi="Times New Roman;Times;Serif"/>
          <w:b w:val="false"/>
          <w:i w:val="false"/>
          <w:caps w:val="false"/>
          <w:smallCaps w:val="false"/>
          <w:sz w:val="20"/>
        </w:rPr>
        <w:t>. In lieu of receiving documents in paper format, the Participant 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The Participant hereby consents to any and all procedures the Company has established or may establish for an electronic signature system for delivery and acceptance of any such documents that the Company may be required to deliver, and agrees that his or her electronic signature is the same as, and shall have the same force and effect as, his or her manual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Agreement to Furnish Information</w:t>
      </w:r>
      <w:r>
        <w:rPr>
          <w:rFonts w:ascii="Times New Roman;Times;Serif" w:hAnsi="Times New Roman;Times;Serif"/>
          <w:b w:val="false"/>
          <w:i w:val="false"/>
          <w:caps w:val="false"/>
          <w:smallCaps w:val="false"/>
          <w:sz w:val="20"/>
        </w:rPr>
        <w:t>. The Participant agrees to furnish to the Company all information requested by the Company to enable it to comply with any reporting or other requirement imposed upon the Company by or under any applicable statute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i w:val="false"/>
          <w:caps w:val="false"/>
          <w:smallCaps w:val="false"/>
          <w:sz w:val="20"/>
          <w:u w:val="single"/>
        </w:rPr>
        <w:t>Entire Agreement; Amendment</w:t>
      </w:r>
      <w:r>
        <w:rPr>
          <w:rFonts w:ascii="Times New Roman;Times;Serif" w:hAnsi="Times New Roman;Times;Serif"/>
          <w:b w:val="false"/>
          <w:i w:val="false"/>
          <w:caps w:val="false"/>
          <w:smallCaps w:val="false"/>
          <w:sz w:val="20"/>
        </w:rPr>
        <w:t xml:space="preserve">. This Agreement constitutes the entire agreement of the parties with regard to the subject matter hereof, and contains all the covenants, promises, representations, warranties and agreements between the parties with respect to the RSUs granted 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terms of this Agreement shall not modify and shall be subject to the terms and conditions of any employment, consulting and/or severance agreement between the Company (or a member of the Company Group or other entity) and the Participant in effect as of the date a determination is to be made under this Agreement. Without limiting the scope of the preceding sentence, except as provided therein, all prior understandings and agreements, if any, among the parties hereto relating to the subject matter hereof are hereby null and void and of no further force and effect. The Administrator may, in its sole discretion, amend this Agreement from time to time in any manner that is not inconsistent with the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as otherwise provided in the Plan or this Agreement, any such amendment that materially reduces the rights of the Participant shall be effective only if it is in writing and signed by both the Participant and an authorized officer of the Company. Notwithstanding the foregoing, prior to an initial public offering, the Company may take any of the following actions (including with respect to the Shares issued under this Agreement) without the consent or authorization of the Participant or any other person: (i) subdivide (by any split, recapitalization or otherwise) its outstanding Shares into a greater number of Shares, (ii) combine (by reverse split, combination, or otherwise) its outstanding Shares into a lesser number of Shares, (iii) make adjustments as determined by the Administrator to prevent dilution or enlargement of the rights granted to, or available for, the Participant under the Plan or this Agreement, and (iv) provide for separate classes or series of common stock such as Class A Common Stock and Class B Common Stock (including, without limitation, to provide for specific voting powers, full or limited, or no voting powers, and such designations, preferences and other applicable rights and qualifications, limitations or restrictions as provided therein).</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i w:val="false"/>
          <w:caps w:val="false"/>
          <w:smallCaps w:val="false"/>
          <w:sz w:val="20"/>
          <w:u w:val="single"/>
        </w:rPr>
        <w:t>Severability and Waiver</w:t>
      </w:r>
      <w:r>
        <w:rPr>
          <w:rFonts w:ascii="Times New Roman;Times;Serif" w:hAnsi="Times New Roman;Times;Serif"/>
          <w:b w:val="false"/>
          <w:i w:val="false"/>
          <w:caps w:val="false"/>
          <w:smallCaps w:val="false"/>
          <w:sz w:val="20"/>
        </w:rPr>
        <w:t>. If a court of competent jurisdiction determines that any provision of this Agreement is invalid or unenforceable, 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Company Recoupment of Awards</w:t>
      </w:r>
      <w:r>
        <w:rPr>
          <w:rFonts w:ascii="Times New Roman;Times;Serif" w:hAnsi="Times New Roman;Times;Serif"/>
          <w:b w:val="false"/>
          <w:i w:val="false"/>
          <w:caps w:val="false"/>
          <w:smallCaps w:val="false"/>
          <w:sz w:val="20"/>
        </w:rPr>
        <w:t>. The Participant’s rights with respect to this Award shall in all events be subject to (a) any right that the Company may have under any Company recoupment policy or other agreement or arrangement with the Participant, including, for the avoidance of doubt, the Stardust Power Inc. Clawback Policy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other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17.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sz w:val="20"/>
        </w:rPr>
        <w:t>. This Agreement shall be governed by and construed in accordance with the laws of the State of DELAWARE applicable to contracts made and to be performed therein, exclusive of the conflict of laws provisions of DELAWARE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 The Company may assign any of its rights under this Agreement without the Participant’s consent. This Agreement 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the RSUs may be transferred by will or the laws of descent or distribution.</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w:t>
      </w:r>
      <w:r>
        <w:rPr>
          <w:rFonts w:ascii="Times New Roman;Times;Serif" w:hAnsi="Times New Roman;Times;Serif"/>
          <w:b/>
          <w:i w:val="false"/>
          <w:caps w:val="false"/>
          <w:smallCaps w:val="false"/>
          <w:sz w:val="20"/>
          <w:u w:val="single"/>
        </w:rPr>
        <w:t>Headings; References; Interpretation</w:t>
      </w:r>
      <w:r>
        <w:rPr>
          <w:rFonts w:ascii="Times New Roman;Times;Serif" w:hAnsi="Times New Roman;Times;Serif"/>
          <w:b w:val="false"/>
          <w:i w:val="false"/>
          <w:caps w:val="false"/>
          <w:smallCaps w:val="false"/>
          <w:sz w:val="20"/>
        </w:rPr>
        <w:t>. Headings are for convenience only and are not deemed to be part of this Agreement. The words “hereof,” “herein” and “hereunder” and words of similar import, when used in this Agreement, shall refer to this Agreement as a whole and not to any particular provision of this Agreement. All references herein to Sections shall, unless the context requires a different construction, be deemed to be references to the Sections of this Agreement. The word “or” as used herein is not exclusive and is deemed to have the meaning “and/or.” All references to “including” shall be construed as meaning “including without limitation.”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All references to “dollars” or “$” in this Agreement refer to United States dollars. Whenever the context may require, any pronouns used herein shall include the corresponding masculine, feminine or neuter forms, and the singular form of nouns and pronouns shall include the plural and vice versa.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20.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The Grant Notice may be executed in one or more counterparts, each of which shall be deemed an original and all of which together shall constitute one instrument. Delivery of an executed counterpart of the Grant Notice by facsimile or portable document format (.pdf) attachment to electronic mail shall be effective as delivery of a manually executed counterpart of the Grant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i w:val="false"/>
          <w:caps w:val="false"/>
          <w:smallCaps w:val="false"/>
          <w:sz w:val="20"/>
          <w:u w:val="single"/>
        </w:rPr>
        <w:t>Section 409A</w:t>
      </w:r>
      <w:r>
        <w:rPr>
          <w:rFonts w:ascii="Times New Roman;Times;Serif" w:hAnsi="Times New Roman;Times;Serif"/>
          <w:b w:val="false"/>
          <w:i w:val="false"/>
          <w:caps w:val="false"/>
          <w:smallCaps w:val="false"/>
          <w:sz w:val="20"/>
        </w:rPr>
        <w:t>. The Plan, this Agreement and Awards are intended to comply with or be exempt from the applicable requirements of Section 409A of the Code and shall be limited, construed, and interpreted in accordance with such intent. To the extent that any Award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Notwithstanding anything herein to the contrary, any provision in the Plan or this Agreement that is inconsistent with Section 409A of the Code shall be deemed to be amended to comply with or be exempt from Section 409A of the Code and, to the extent such provision cannot be amended to comply therewith or be exempt therefrom, such provision shall be null and void. Notwithstanding any contrary provision in the Plan or this Agreement, any payment(s) of “nonqualified deferred compensation” (within the meaning of Section 409A of the Code) that are otherwise required to be made under the Plan or this Agreement to a “specified employee” (as defined under Section 409A of the Code) as a result of such employee’s separation from service (other than a payment that is not subject to Section 409A of the Code) shall be delayed for the first six (6) months following such separation from service (or, if earlier, until the date of death of the specified employee) and shall instead be paid (in a manner set forth in this Agreement) upon expiration of such delay period. Notwithstanding the foregoing, neither the Company nor any other member of the Company Group makes any representations that the RSUs provided under this Agreement are exempt from or compliant with Section 409A of the Code and in no event shall the Company or any member of the Company Group be liable for all or any portion of any taxes, penalties, interest or other expenses that may be incurred by the Participant on account of non-compliance with Section 409A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Blank]</w:t>
      </w:r>
    </w:p>
    <w:p>
      <w:pPr>
        <w:pStyle w:val="TextBody"/>
        <w:bidi w:val="0"/>
        <w:spacing w:before="0" w:after="0"/>
        <w:ind w:left="0" w:right="0" w:hanging="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835" w:name="ex31-1.htm"/>
      <w:bookmarkStart w:id="836" w:name="ksex311"/>
      <w:bookmarkEnd w:id="835"/>
      <w:bookmarkEnd w:id="83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Roshan Pujari,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Stardust Power Inc.;</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59" w:type="dxa"/>
            <w:tcBorders/>
            <w:vAlign w:val="center"/>
          </w:tcPr>
          <w:p>
            <w:pPr>
              <w:pStyle w:val="TableContents"/>
              <w:bidi w:val="0"/>
              <w:spacing w:before="0" w:after="283"/>
              <w:jc w:val="left"/>
              <w:rPr>
                <w:caps w:val="false"/>
                <w:smallCaps w:val="false"/>
              </w:rPr>
            </w:pPr>
            <w:r>
              <w:rPr>
                <w:caps w:val="false"/>
                <w:smallCaps w:val="false"/>
              </w:rPr>
              <w:t> </w:t>
            </w:r>
          </w:p>
        </w:tc>
        <w:tc>
          <w:tcPr>
            <w:tcW w:w="100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59" w:type="dxa"/>
            <w:tcBorders/>
            <w:vAlign w:val="center"/>
          </w:tcPr>
          <w:p>
            <w:pPr>
              <w:pStyle w:val="TableContents"/>
              <w:bidi w:val="0"/>
              <w:spacing w:before="0" w:after="283"/>
              <w:jc w:val="left"/>
              <w:rPr>
                <w:caps w:val="false"/>
                <w:smallCaps w:val="false"/>
              </w:rPr>
            </w:pPr>
            <w:r>
              <w:rPr>
                <w:caps w:val="false"/>
                <w:smallCaps w:val="false"/>
              </w:rPr>
              <w:t> </w:t>
            </w:r>
          </w:p>
        </w:tc>
        <w:tc>
          <w:tcPr>
            <w:tcW w:w="100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59" w:type="dxa"/>
            <w:tcBorders/>
            <w:vAlign w:val="center"/>
          </w:tcPr>
          <w:p>
            <w:pPr>
              <w:pStyle w:val="TableContents"/>
              <w:bidi w:val="0"/>
              <w:spacing w:before="0" w:after="283"/>
              <w:jc w:val="left"/>
              <w:rPr>
                <w:caps w:val="false"/>
                <w:smallCaps w:val="false"/>
              </w:rPr>
            </w:pPr>
            <w:r>
              <w:rPr>
                <w:caps w:val="false"/>
                <w:smallCaps w:val="false"/>
              </w:rPr>
              <w:t> </w:t>
            </w:r>
          </w:p>
        </w:tc>
        <w:tc>
          <w:tcPr>
            <w:tcW w:w="100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845" w:type="dxa"/>
        <w:jc w:val="left"/>
        <w:tblInd w:w="0" w:type="dxa"/>
        <w:tblLayout w:type="fixed"/>
        <w:tblCellMar>
          <w:top w:w="0" w:type="dxa"/>
          <w:left w:w="0" w:type="dxa"/>
          <w:bottom w:w="0" w:type="dxa"/>
          <w:right w:w="0" w:type="dxa"/>
        </w:tblCellMar>
      </w:tblPr>
      <w:tblGrid>
        <w:gridCol w:w="1385"/>
        <w:gridCol w:w="320"/>
        <w:gridCol w:w="3140"/>
      </w:tblGrid>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Roshan Pujari</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Roshan Pujari</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837" w:name="ex31-2.htm"/>
      <w:bookmarkStart w:id="838" w:name="ksex312"/>
      <w:bookmarkEnd w:id="837"/>
      <w:bookmarkEnd w:id="83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ADOPTED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Udaychandra Devasper,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Stardust Power Inc.;</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59" w:type="dxa"/>
            <w:tcBorders/>
            <w:vAlign w:val="center"/>
          </w:tcPr>
          <w:p>
            <w:pPr>
              <w:pStyle w:val="TableContents"/>
              <w:bidi w:val="0"/>
              <w:spacing w:before="0" w:after="283"/>
              <w:jc w:val="left"/>
              <w:rPr>
                <w:caps w:val="false"/>
                <w:smallCaps w:val="false"/>
              </w:rPr>
            </w:pPr>
            <w:r>
              <w:rPr>
                <w:caps w:val="false"/>
                <w:smallCaps w:val="false"/>
              </w:rPr>
              <w:t> </w:t>
            </w:r>
          </w:p>
        </w:tc>
        <w:tc>
          <w:tcPr>
            <w:tcW w:w="100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59" w:type="dxa"/>
            <w:tcBorders/>
            <w:vAlign w:val="center"/>
          </w:tcPr>
          <w:p>
            <w:pPr>
              <w:pStyle w:val="TableContents"/>
              <w:bidi w:val="0"/>
              <w:spacing w:before="0" w:after="283"/>
              <w:jc w:val="left"/>
              <w:rPr>
                <w:caps w:val="false"/>
                <w:smallCaps w:val="false"/>
              </w:rPr>
            </w:pPr>
            <w:r>
              <w:rPr>
                <w:caps w:val="false"/>
                <w:smallCaps w:val="false"/>
              </w:rPr>
              <w:t> </w:t>
            </w:r>
          </w:p>
        </w:tc>
        <w:tc>
          <w:tcPr>
            <w:tcW w:w="100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59" w:type="dxa"/>
            <w:tcBorders/>
            <w:vAlign w:val="center"/>
          </w:tcPr>
          <w:p>
            <w:pPr>
              <w:pStyle w:val="TableContents"/>
              <w:bidi w:val="0"/>
              <w:spacing w:before="0" w:after="283"/>
              <w:jc w:val="left"/>
              <w:rPr>
                <w:caps w:val="false"/>
                <w:smallCaps w:val="false"/>
              </w:rPr>
            </w:pPr>
            <w:r>
              <w:rPr>
                <w:caps w:val="false"/>
                <w:smallCaps w:val="false"/>
              </w:rPr>
              <w:t> </w:t>
            </w:r>
          </w:p>
        </w:tc>
        <w:tc>
          <w:tcPr>
            <w:tcW w:w="100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355" w:type="dxa"/>
        <w:jc w:val="left"/>
        <w:tblInd w:w="0" w:type="dxa"/>
        <w:tblLayout w:type="fixed"/>
        <w:tblCellMar>
          <w:top w:w="0" w:type="dxa"/>
          <w:left w:w="0" w:type="dxa"/>
          <w:bottom w:w="0" w:type="dxa"/>
          <w:right w:w="0" w:type="dxa"/>
        </w:tblCellMar>
      </w:tblPr>
      <w:tblGrid>
        <w:gridCol w:w="1385"/>
        <w:gridCol w:w="320"/>
        <w:gridCol w:w="3650"/>
      </w:tblGrid>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Udaychandra Devasper</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Udaychandra Devasper</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839" w:name="ex32-1.htm"/>
      <w:bookmarkStart w:id="840" w:name="ksex321"/>
      <w:bookmarkEnd w:id="839"/>
      <w:bookmarkEnd w:id="84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Stardust Power Inc. (the “Company”) for the quarter ended June 30, 2026, as filed with the Securities and Exchange Commission (the “Report”), I, Roshan Pujari, Chief Executive Officer of the Company, hereby certify, pursuant to 18 U.S.C.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99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and for the period covered by the Report.</w:t>
            </w:r>
          </w:p>
        </w:tc>
      </w:tr>
    </w:tbl>
    <w:p>
      <w:pPr>
        <w:pStyle w:val="TextBody"/>
        <w:bidi w:val="0"/>
        <w:spacing w:before="0" w:after="0"/>
        <w:ind w:left="0" w:right="0" w:hanging="0"/>
        <w:jc w:val="left"/>
        <w:rPr>
          <w:caps w:val="false"/>
          <w:smallCaps w:val="false"/>
        </w:rPr>
      </w:pPr>
      <w:r>
        <w:rPr>
          <w:caps w:val="false"/>
          <w:smallCaps w:val="false"/>
        </w:rPr>
        <w:t> </w:t>
      </w:r>
    </w:p>
    <w:tbl>
      <w:tblPr>
        <w:tblW w:w="4845" w:type="dxa"/>
        <w:jc w:val="left"/>
        <w:tblInd w:w="0" w:type="dxa"/>
        <w:tblLayout w:type="fixed"/>
        <w:tblCellMar>
          <w:top w:w="0" w:type="dxa"/>
          <w:left w:w="0" w:type="dxa"/>
          <w:bottom w:w="0" w:type="dxa"/>
          <w:right w:w="0" w:type="dxa"/>
        </w:tblCellMar>
      </w:tblPr>
      <w:tblGrid>
        <w:gridCol w:w="1385"/>
        <w:gridCol w:w="320"/>
        <w:gridCol w:w="3140"/>
      </w:tblGrid>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Roshan Pujari</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Roshan Pujari</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841" w:name="ex32-2.htm"/>
      <w:bookmarkStart w:id="842" w:name="ksex322"/>
      <w:bookmarkEnd w:id="841"/>
      <w:bookmarkEnd w:id="84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Stardust Power Inc. (the “Company”) for the quarter ended June 30, 2026, as filed with the Securities and Exchange Commission (the “Report”), I, Udaychandra Devasper, Chief Financial Officer of the Company, hereby certify, pursuant to 18 U.S.C.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99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and for the period covered by the Report.</w:t>
            </w:r>
          </w:p>
        </w:tc>
      </w:tr>
    </w:tbl>
    <w:p>
      <w:pPr>
        <w:pStyle w:val="TextBody"/>
        <w:bidi w:val="0"/>
        <w:spacing w:before="0" w:after="0"/>
        <w:ind w:left="0" w:right="0" w:hanging="0"/>
        <w:jc w:val="left"/>
        <w:rPr>
          <w:caps w:val="false"/>
          <w:smallCaps w:val="false"/>
        </w:rPr>
      </w:pPr>
      <w:r>
        <w:rPr>
          <w:caps w:val="false"/>
          <w:smallCaps w:val="false"/>
        </w:rPr>
        <w:t> </w:t>
      </w:r>
    </w:p>
    <w:tbl>
      <w:tblPr>
        <w:tblW w:w="5355" w:type="dxa"/>
        <w:jc w:val="left"/>
        <w:tblInd w:w="0" w:type="dxa"/>
        <w:tblLayout w:type="fixed"/>
        <w:tblCellMar>
          <w:top w:w="0" w:type="dxa"/>
          <w:left w:w="0" w:type="dxa"/>
          <w:bottom w:w="0" w:type="dxa"/>
          <w:right w:w="0" w:type="dxa"/>
        </w:tblCellMar>
      </w:tblPr>
      <w:tblGrid>
        <w:gridCol w:w="1385"/>
        <w:gridCol w:w="320"/>
        <w:gridCol w:w="3650"/>
      </w:tblGrid>
      <w:tr>
        <w:trPr/>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Udaychandra Devasper</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Udaychandra Devasper</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1979/000149315226022006/ex1-1.htm" TargetMode="External"/><Relationship Id="rId3" Type="http://schemas.openxmlformats.org/officeDocument/2006/relationships/hyperlink" Target="https://www.sec.gov/Archives/edgar/data/1831979/000121390023089281/ea188810ex2-1_globalpart2.htm" TargetMode="External"/><Relationship Id="rId4" Type="http://schemas.openxmlformats.org/officeDocument/2006/relationships/hyperlink" Target="https://www.sec.gov/Archives/edgar/data/1831979/000119312524110418/d824272dex21.htm" TargetMode="External"/><Relationship Id="rId5" Type="http://schemas.openxmlformats.org/officeDocument/2006/relationships/hyperlink" Target="https://www.sec.gov/Archives/edgar/data/1831979/000121390024054788/ea020819201ex2-1_global2.htm" TargetMode="External"/><Relationship Id="rId6" Type="http://schemas.openxmlformats.org/officeDocument/2006/relationships/hyperlink" Target="https://www.sec.gov/Archives/edgar/data/1831979/000149315224027127/ex3-1.htm" TargetMode="External"/><Relationship Id="rId7" Type="http://schemas.openxmlformats.org/officeDocument/2006/relationships/hyperlink" Target="https://www.sec.gov/Archives/edgar/data/1831979/000149315226012709/ex3-2.htm" TargetMode="External"/><Relationship Id="rId8" Type="http://schemas.openxmlformats.org/officeDocument/2006/relationships/hyperlink" Target="https://www.sec.gov/Archives/edgar/data/1831979/000149315225012599/ex3-1.htm" TargetMode="External"/><Relationship Id="rId9" Type="http://schemas.openxmlformats.org/officeDocument/2006/relationships/hyperlink" Target="https://www.sec.gov/Archives/edgar/data/1831979/000149315224027127/ex3-2.htm" TargetMode="External"/><Relationship Id="rId10" Type="http://schemas.openxmlformats.org/officeDocument/2006/relationships/hyperlink" Target="https://www.sec.gov/Archives/edgar/data/1831979/000121390020045587/ea132346ex4-4_global2.htm" TargetMode="External"/><Relationship Id="rId11" Type="http://schemas.openxmlformats.org/officeDocument/2006/relationships/hyperlink" Target="https://www.sec.gov/Archives/edgar/data/1831979/000149315225002368/ex4-5.htm" TargetMode="External"/><Relationship Id="rId12" Type="http://schemas.openxmlformats.org/officeDocument/2006/relationships/hyperlink" Target="https://www.sec.gov/Archives/edgar/data/1831979/000149315225003908/ex4-1.htm" TargetMode="External"/><Relationship Id="rId13" Type="http://schemas.openxmlformats.org/officeDocument/2006/relationships/hyperlink" Target="https://www.sec.gov/Archives/edgar/data/1831979/000149315225010486/ex4-1.htm" TargetMode="External"/><Relationship Id="rId14" Type="http://schemas.openxmlformats.org/officeDocument/2006/relationships/hyperlink" Target="https://www.sec.gov/Archives/edgar/data/1831979/000121390020045587/ea132346ex4-3_global2.htm" TargetMode="External"/><Relationship Id="rId15" Type="http://schemas.openxmlformats.org/officeDocument/2006/relationships/hyperlink" Target="https://www.sec.gov/Archives/edgar/data/1831979/000121390021002511/ea133434ex4-1_global2.htm" TargetMode="External"/><Relationship Id="rId16" Type="http://schemas.openxmlformats.org/officeDocument/2006/relationships/hyperlink" Target="https://www.sec.gov/Archives/edgar/data/1831979/000164117225007983/ex4-7.htm" TargetMode="External"/><Relationship Id="rId17" Type="http://schemas.openxmlformats.org/officeDocument/2006/relationships/hyperlink" Target="https://www.sec.gov/Archives/edgar/data/1831979/000164117225007983/ex4-8.htm" TargetMode="External"/><Relationship Id="rId18" Type="http://schemas.openxmlformats.org/officeDocument/2006/relationships/hyperlink" Target="https://www.sec.gov/Archives/edgar/data/1831979/000164117225007983/ex4-9.htm" TargetMode="External"/><Relationship Id="rId19" Type="http://schemas.openxmlformats.org/officeDocument/2006/relationships/hyperlink" Target="https://www.sec.gov/Archives/edgar/data/1831979/000149315225029844/ex4-2.htm" TargetMode="External"/><Relationship Id="rId20" Type="http://schemas.openxmlformats.org/officeDocument/2006/relationships/hyperlink" Target="https://www.sec.gov/Archives/edgar/data/1831979/000149315226015744/ex4-7.htm" TargetMode="External"/><Relationship Id="rId21" Type="http://schemas.openxmlformats.org/officeDocument/2006/relationships/hyperlink" Target="https://www.sec.gov/Archives/edgar/data/1831979/000149315226015744/ex4-8.htm" TargetMode="External"/><Relationship Id="rId22" Type="http://schemas.openxmlformats.org/officeDocument/2006/relationships/hyperlink" Target="https://www.sec.gov/Archives/edgar/data/1831979/000149315226015744/ex4-9.htm" TargetMode="External"/><Relationship Id="rId23" Type="http://schemas.openxmlformats.org/officeDocument/2006/relationships/hyperlink" Target="https://www.sec.gov/Archives/edgar/data/1831979/000149315226027112/ex10-1.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35913</Words>
  <Characters>193706</Characters>
  <CharactersWithSpaces>231071</CharactersWithSpaces>
  <Paragraphs>6449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