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E_edei--DocumentType_c202506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Section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val="false"/>
          <w:i w:val="false"/>
          <w:caps w:val="false"/>
          <w:smallCaps w:val="false"/>
          <w:sz w:val="20"/>
        </w:rPr>
        <w:t>June 9,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5"/>
      <w:bookmarkEnd w:id="4"/>
      <w:r>
        <w:rPr>
          <w:rFonts w:ascii="Times New Roman;Times;Serif" w:hAnsi="Times New Roman;Times;Serif"/>
          <w:b/>
          <w:i w:val="false"/>
          <w:caps w:val="false"/>
          <w:smallCaps w:val="false"/>
          <w:sz w:val="36"/>
        </w:rPr>
        <w:t>STARDUST 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610" w:type="dxa"/>
        <w:jc w:val="left"/>
        <w:tblInd w:w="0" w:type="dxa"/>
        <w:tblLayout w:type="fixed"/>
        <w:tblCellMar>
          <w:top w:w="0" w:type="dxa"/>
          <w:left w:w="0" w:type="dxa"/>
          <w:bottom w:w="28" w:type="dxa"/>
          <w:right w:w="0" w:type="dxa"/>
        </w:tblCellMar>
      </w:tblPr>
      <w:tblGrid>
        <w:gridCol w:w="2495"/>
        <w:gridCol w:w="60"/>
        <w:gridCol w:w="1100"/>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5" w:name="xdx_902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0_edei--EntityFileNumber_c20250609"/>
            <w:bookmarkEnd w:id="6"/>
            <w:r>
              <w:rPr>
                <w:rFonts w:ascii="Times New Roman;Times;Serif" w:hAnsi="Times New Roman;Times;Serif"/>
                <w:b w:val="false"/>
                <w:i w:val="false"/>
                <w:caps w:val="false"/>
                <w:smallCaps w:val="false"/>
                <w:sz w:val="20"/>
              </w:rPr>
              <w:t>001-39875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7_edei--EntityTaxIdentificationNum"/>
            <w:bookmarkEnd w:id="7"/>
            <w:r>
              <w:rPr>
                <w:rFonts w:ascii="Times New Roman;Times;Serif" w:hAnsi="Times New Roman;Times;Serif"/>
                <w:b w:val="false"/>
                <w:i w:val="false"/>
                <w:caps w:val="false"/>
                <w:smallCaps w:val="false"/>
                <w:sz w:val="20"/>
              </w:rPr>
              <w:t>99-3863616</w:t>
            </w:r>
          </w:p>
        </w:tc>
      </w:tr>
      <w:tr>
        <w:trPr/>
        <w:tc>
          <w:tcPr>
            <w:tcW w:w="24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val="false"/>
          <w:i w:val="false"/>
          <w:caps w:val="false"/>
          <w:smallCaps w:val="false"/>
          <w:sz w:val="20"/>
        </w:rPr>
        <w:t xml:space="preserve">15 E. Putnam Ave, </w:t>
      </w:r>
      <w:bookmarkStart w:id="9" w:name="xdx_901_edei--EntityAddressAddressLine2_"/>
      <w:bookmarkEnd w:id="9"/>
      <w:r>
        <w:rPr>
          <w:rFonts w:ascii="Times New Roman;Times;Serif" w:hAnsi="Times New Roman;Times;Serif"/>
          <w:b w:val="false"/>
          <w:i w:val="false"/>
          <w:caps w:val="false"/>
          <w:smallCaps w:val="false"/>
          <w:sz w:val="20"/>
        </w:rPr>
        <w:t>Suite 378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4_edei--EntityAddressCityOrTown_c2"/>
      <w:bookmarkEnd w:id="10"/>
      <w:r>
        <w:rPr>
          <w:rFonts w:ascii="Times New Roman;Times;Serif" w:hAnsi="Times New Roman;Times;Serif"/>
          <w:b w:val="false"/>
          <w:i w:val="false"/>
          <w:caps w:val="false"/>
          <w:smallCaps w:val="false"/>
          <w:sz w:val="20"/>
        </w:rPr>
        <w:t xml:space="preserve">Greenwich, </w:t>
      </w:r>
      <w:bookmarkStart w:id="11" w:name="xdx_903_edei--EntityAddressStateOrProvin"/>
      <w:bookmarkEnd w:id="11"/>
      <w:r>
        <w:rPr>
          <w:rFonts w:ascii="Times New Roman;Times;Serif" w:hAnsi="Times New Roman;Times;Serif"/>
          <w:b w:val="false"/>
          <w:i w:val="false"/>
          <w:caps w:val="false"/>
          <w:smallCaps w:val="false"/>
          <w:sz w:val="20"/>
        </w:rPr>
        <w:t xml:space="preserve">Connecticut </w:t>
      </w:r>
      <w:bookmarkStart w:id="12" w:name="xdx_90B_edei--EntityAddressPostalZipCode"/>
      <w:bookmarkEnd w:id="12"/>
      <w:r>
        <w:rPr>
          <w:rFonts w:ascii="Times New Roman;Times;Serif" w:hAnsi="Times New Roman;Times;Serif"/>
          <w:b w:val="false"/>
          <w:i w:val="false"/>
          <w:caps w:val="false"/>
          <w:smallCaps w:val="false"/>
          <w:sz w:val="20"/>
        </w:rPr>
        <w:t>06830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8_edei--CityAreaCode_c20250609__20"/>
      <w:bookmarkEnd w:id="13"/>
      <w:r>
        <w:rPr>
          <w:rFonts w:ascii="Times New Roman;Times;Serif" w:hAnsi="Times New Roman;Times;Serif"/>
          <w:b w:val="false"/>
          <w:i w:val="false"/>
          <w:caps w:val="false"/>
          <w:smallCaps w:val="false"/>
          <w:sz w:val="20"/>
        </w:rPr>
        <w:t>800-</w:t>
      </w:r>
      <w:bookmarkStart w:id="14" w:name="xdx_90F_edei--LocalPhoneNumber_c20250609"/>
      <w:bookmarkEnd w:id="14"/>
      <w:r>
        <w:rPr>
          <w:rFonts w:ascii="Times New Roman;Times;Serif" w:hAnsi="Times New Roman;Times;Serif"/>
          <w:b w:val="false"/>
          <w:i w:val="false"/>
          <w:caps w:val="false"/>
          <w:smallCaps w:val="false"/>
          <w:sz w:val="20"/>
        </w:rPr>
        <w:t>742-3095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7_edei--SolicitingMaterial_c202506"/>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84"/>
        <w:gridCol w:w="60"/>
        <w:gridCol w:w="1270"/>
        <w:gridCol w:w="60"/>
        <w:gridCol w:w="2631"/>
      </w:tblGrid>
      <w:tr>
        <w:trPr/>
        <w:tc>
          <w:tcPr>
            <w:tcW w:w="618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8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Security12bTitle_c20250609"/>
            <w:bookmarkEnd w:id="19"/>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TradingSymbol_c20250609__2"/>
            <w:bookmarkEnd w:id="20"/>
            <w:r>
              <w:rPr>
                <w:rFonts w:ascii="Times New Roman;Times;Serif" w:hAnsi="Times New Roman;Times;Serif"/>
                <w:b w:val="false"/>
                <w:i w:val="false"/>
                <w:caps w:val="false"/>
                <w:smallCaps w:val="false"/>
                <w:sz w:val="20"/>
              </w:rPr>
              <w:t>SDST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ExchangeName_c2025"/>
            <w:bookmarkEnd w:id="21"/>
            <w:r>
              <w:rPr>
                <w:rFonts w:ascii="Times New Roman;Times;Serif" w:hAnsi="Times New Roman;Times;Serif"/>
                <w:b w:val="false"/>
                <w:i w:val="false"/>
                <w:caps w:val="false"/>
                <w:smallCaps w:val="false"/>
                <w:sz w:val="20"/>
              </w:rPr>
              <w:t>The Nasdaq Global Market</w:t>
            </w:r>
          </w:p>
        </w:tc>
      </w:tr>
      <w:tr>
        <w:trPr/>
        <w:tc>
          <w:tcPr>
            <w:tcW w:w="618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3_edei--Security12bTitle_c20250609"/>
            <w:bookmarkEnd w:id="22"/>
            <w:r>
              <w:rPr>
                <w:rFonts w:ascii="Times New Roman;Times;Serif" w:hAnsi="Times New Roman;Times;Serif"/>
                <w:b w:val="false"/>
                <w:i w:val="false"/>
                <w:caps w:val="false"/>
                <w:smallCaps w:val="false"/>
                <w:sz w:val="20"/>
              </w:rPr>
              <w:t>Redeemable warrants, each whole warrant exercisable for one share of Common Stock at an exercise price of $11.50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3_edei--TradingSymbol_c20250609__2"/>
            <w:bookmarkEnd w:id="23"/>
            <w:r>
              <w:rPr>
                <w:rFonts w:ascii="Times New Roman;Times;Serif" w:hAnsi="Times New Roman;Times;Serif"/>
                <w:b w:val="false"/>
                <w:i w:val="false"/>
                <w:caps w:val="false"/>
                <w:smallCaps w:val="false"/>
                <w:sz w:val="20"/>
              </w:rPr>
              <w:t>SDSTW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3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F_edei--SecurityExchangeName_c2025"/>
            <w:bookmarkEnd w:id="24"/>
            <w:r>
              <w:rPr>
                <w:rFonts w:ascii="Times New Roman;Times;Serif" w:hAnsi="Times New Roman;Times;Serif"/>
                <w:b w:val="false"/>
                <w:i w:val="false"/>
                <w:caps w:val="false"/>
                <w:smallCaps w:val="false"/>
                <w:sz w:val="20"/>
              </w:rPr>
              <w:t>The 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9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1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2025 Annual Meeting of Stockholders of Stardust Power, Inc. (the “Company”) held on June 9, 2025, the Company’s stockholders voted upon the following four proposals, each of which is described in more detail in the Company’s definitive proxy statement filed with the Securities and Exchange Commission on April 28, 2025. The final vote results for each proposal were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1: 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elected each of the individuals set forth below to the Board of Directors of the Company (the “Board”) to serve a one-year term expiring at the Company’s 2026 annual meeting of stockholders:</w:t>
      </w:r>
    </w:p>
    <w:p>
      <w:pPr>
        <w:pStyle w:val="TextBody"/>
        <w:bidi w:val="0"/>
        <w:spacing w:before="0" w:after="0"/>
        <w:ind w:left="360" w:right="0" w:hanging="360"/>
        <w:jc w:val="both"/>
        <w:rPr>
          <w:caps w:val="false"/>
          <w:smallCaps w:val="false"/>
        </w:rPr>
      </w:pPr>
      <w:r>
        <w:rPr>
          <w:caps w:val="false"/>
          <w:smallCaps w:val="false"/>
        </w:rPr>
        <w:t> </w:t>
      </w:r>
    </w:p>
    <w:tbl>
      <w:tblPr>
        <w:tblW w:w="8814" w:type="dxa"/>
        <w:jc w:val="left"/>
        <w:tblInd w:w="0" w:type="dxa"/>
        <w:tblLayout w:type="fixed"/>
        <w:tblCellMar>
          <w:top w:w="0" w:type="dxa"/>
          <w:left w:w="0" w:type="dxa"/>
          <w:bottom w:w="0" w:type="dxa"/>
          <w:right w:w="0" w:type="dxa"/>
        </w:tblCellMar>
      </w:tblPr>
      <w:tblGrid>
        <w:gridCol w:w="2345"/>
        <w:gridCol w:w="60"/>
        <w:gridCol w:w="60"/>
        <w:gridCol w:w="1100"/>
        <w:gridCol w:w="60"/>
        <w:gridCol w:w="60"/>
        <w:gridCol w:w="91"/>
        <w:gridCol w:w="1039"/>
        <w:gridCol w:w="60"/>
        <w:gridCol w:w="60"/>
        <w:gridCol w:w="77"/>
        <w:gridCol w:w="1038"/>
        <w:gridCol w:w="60"/>
        <w:gridCol w:w="60"/>
        <w:gridCol w:w="147"/>
        <w:gridCol w:w="2422"/>
        <w:gridCol w:w="75"/>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Roshan Pujari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pPr>
            <w:r>
              <w:rPr/>
              <w:t>39,824,281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1039" w:type="dxa"/>
            <w:tcBorders/>
            <w:shd w:fill="CCEEFF" w:val="clear"/>
            <w:vAlign w:val="center"/>
          </w:tcPr>
          <w:p>
            <w:pPr>
              <w:pStyle w:val="TableContents"/>
              <w:bidi w:val="0"/>
              <w:spacing w:before="0" w:after="283"/>
              <w:jc w:val="center"/>
              <w:rPr/>
            </w:pPr>
            <w:r>
              <w:rPr/>
              <w:t>63,384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center"/>
              <w:rPr/>
            </w:pPr>
            <w:r>
              <w:rPr/>
              <w:t> </w:t>
            </w:r>
          </w:p>
        </w:tc>
        <w:tc>
          <w:tcPr>
            <w:tcW w:w="1038" w:type="dxa"/>
            <w:tcBorders/>
            <w:shd w:fill="CCEEFF" w:val="clear"/>
            <w:vAlign w:val="center"/>
          </w:tcPr>
          <w:p>
            <w:pPr>
              <w:pStyle w:val="TableContents"/>
              <w:bidi w:val="0"/>
              <w:spacing w:before="0" w:after="283"/>
              <w:jc w:val="center"/>
              <w:rPr/>
            </w:pPr>
            <w:r>
              <w:rPr/>
              <w:t>350,206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center"/>
              <w:rPr/>
            </w:pPr>
            <w:r>
              <w:rPr/>
              <w:t> </w:t>
            </w:r>
          </w:p>
        </w:tc>
        <w:tc>
          <w:tcPr>
            <w:tcW w:w="2422" w:type="dxa"/>
            <w:tcBorders/>
            <w:shd w:fill="CCEEFF" w:val="clear"/>
            <w:vAlign w:val="center"/>
          </w:tcPr>
          <w:p>
            <w:pPr>
              <w:pStyle w:val="TableContents"/>
              <w:bidi w:val="0"/>
              <w:spacing w:before="0" w:after="283"/>
              <w:jc w:val="center"/>
              <w:rPr/>
            </w:pPr>
            <w:r>
              <w:rPr/>
              <w:t>6,457,054</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Anupam Agarwal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pPr>
            <w:r>
              <w:rPr/>
              <w:t>39,816,406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1039" w:type="dxa"/>
            <w:tcBorders/>
            <w:shd w:fill="FFFFFF" w:val="clear"/>
            <w:vAlign w:val="center"/>
          </w:tcPr>
          <w:p>
            <w:pPr>
              <w:pStyle w:val="TableContents"/>
              <w:bidi w:val="0"/>
              <w:spacing w:before="0" w:after="283"/>
              <w:jc w:val="center"/>
              <w:rPr/>
            </w:pPr>
            <w:r>
              <w:rPr/>
              <w:t>68.859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center"/>
              <w:rPr/>
            </w:pPr>
            <w:r>
              <w:rPr/>
              <w:t> </w:t>
            </w:r>
          </w:p>
        </w:tc>
        <w:tc>
          <w:tcPr>
            <w:tcW w:w="1038" w:type="dxa"/>
            <w:tcBorders/>
            <w:shd w:fill="FFFFFF" w:val="clear"/>
            <w:vAlign w:val="center"/>
          </w:tcPr>
          <w:p>
            <w:pPr>
              <w:pStyle w:val="TableContents"/>
              <w:bidi w:val="0"/>
              <w:spacing w:before="0" w:after="283"/>
              <w:jc w:val="center"/>
              <w:rPr/>
            </w:pPr>
            <w:r>
              <w:rPr/>
              <w:t>352,606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2422" w:type="dxa"/>
            <w:tcBorders/>
            <w:shd w:fill="FFFFFF" w:val="clear"/>
            <w:vAlign w:val="center"/>
          </w:tcPr>
          <w:p>
            <w:pPr>
              <w:pStyle w:val="TableContents"/>
              <w:bidi w:val="0"/>
              <w:spacing w:before="0" w:after="283"/>
              <w:jc w:val="center"/>
              <w:rPr/>
            </w:pPr>
            <w:r>
              <w:rPr/>
              <w:t>6,457,054</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Martyn Buttenshaw</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pPr>
            <w:r>
              <w:rPr/>
              <w:t>39,822,701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1039" w:type="dxa"/>
            <w:tcBorders/>
            <w:shd w:fill="CCEEFF" w:val="clear"/>
            <w:vAlign w:val="center"/>
          </w:tcPr>
          <w:p>
            <w:pPr>
              <w:pStyle w:val="TableContents"/>
              <w:bidi w:val="0"/>
              <w:spacing w:before="0" w:after="283"/>
              <w:jc w:val="center"/>
              <w:rPr/>
            </w:pPr>
            <w:r>
              <w:rPr/>
              <w:t>66,767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center"/>
              <w:rPr/>
            </w:pPr>
            <w:r>
              <w:rPr/>
              <w:t> </w:t>
            </w:r>
          </w:p>
        </w:tc>
        <w:tc>
          <w:tcPr>
            <w:tcW w:w="1038" w:type="dxa"/>
            <w:tcBorders/>
            <w:shd w:fill="CCEEFF" w:val="clear"/>
            <w:vAlign w:val="center"/>
          </w:tcPr>
          <w:p>
            <w:pPr>
              <w:pStyle w:val="TableContents"/>
              <w:bidi w:val="0"/>
              <w:spacing w:before="0" w:after="283"/>
              <w:jc w:val="center"/>
              <w:rPr/>
            </w:pPr>
            <w:r>
              <w:rPr/>
              <w:t>348,403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center"/>
              <w:rPr/>
            </w:pPr>
            <w:r>
              <w:rPr/>
              <w:t> </w:t>
            </w:r>
          </w:p>
        </w:tc>
        <w:tc>
          <w:tcPr>
            <w:tcW w:w="2422" w:type="dxa"/>
            <w:tcBorders/>
            <w:shd w:fill="CCEEFF" w:val="clear"/>
            <w:vAlign w:val="center"/>
          </w:tcPr>
          <w:p>
            <w:pPr>
              <w:pStyle w:val="TableContents"/>
              <w:bidi w:val="0"/>
              <w:spacing w:before="0" w:after="283"/>
              <w:jc w:val="center"/>
              <w:rPr/>
            </w:pPr>
            <w:r>
              <w:rPr/>
              <w:t>6,457,054</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Charlotte Nangolo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pPr>
            <w:r>
              <w:rPr/>
              <w:t>39,816,740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1039" w:type="dxa"/>
            <w:tcBorders/>
            <w:shd w:fill="FFFFFF" w:val="clear"/>
            <w:vAlign w:val="center"/>
          </w:tcPr>
          <w:p>
            <w:pPr>
              <w:pStyle w:val="TableContents"/>
              <w:bidi w:val="0"/>
              <w:spacing w:before="0" w:after="283"/>
              <w:jc w:val="center"/>
              <w:rPr/>
            </w:pPr>
            <w:r>
              <w:rPr/>
              <w:t>70,284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center"/>
              <w:rPr/>
            </w:pPr>
            <w:r>
              <w:rPr/>
              <w:t> </w:t>
            </w:r>
          </w:p>
        </w:tc>
        <w:tc>
          <w:tcPr>
            <w:tcW w:w="1038" w:type="dxa"/>
            <w:tcBorders/>
            <w:shd w:fill="FFFFFF" w:val="clear"/>
            <w:vAlign w:val="center"/>
          </w:tcPr>
          <w:p>
            <w:pPr>
              <w:pStyle w:val="TableContents"/>
              <w:bidi w:val="0"/>
              <w:spacing w:before="0" w:after="283"/>
              <w:jc w:val="center"/>
              <w:rPr/>
            </w:pPr>
            <w:r>
              <w:rPr/>
              <w:t>350,847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2422" w:type="dxa"/>
            <w:tcBorders/>
            <w:shd w:fill="FFFFFF" w:val="clear"/>
            <w:vAlign w:val="center"/>
          </w:tcPr>
          <w:p>
            <w:pPr>
              <w:pStyle w:val="TableContents"/>
              <w:bidi w:val="0"/>
              <w:spacing w:before="0" w:after="283"/>
              <w:jc w:val="center"/>
              <w:rPr/>
            </w:pPr>
            <w:r>
              <w:rPr/>
              <w:t>6,457,054</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Mark Rankin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pPr>
            <w:r>
              <w:rPr/>
              <w:t>39,839,073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1039" w:type="dxa"/>
            <w:tcBorders/>
            <w:shd w:fill="CCEEFF" w:val="clear"/>
            <w:vAlign w:val="center"/>
          </w:tcPr>
          <w:p>
            <w:pPr>
              <w:pStyle w:val="TableContents"/>
              <w:bidi w:val="0"/>
              <w:spacing w:before="0" w:after="283"/>
              <w:jc w:val="center"/>
              <w:rPr/>
            </w:pPr>
            <w:r>
              <w:rPr/>
              <w:t>47,842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center"/>
              <w:rPr/>
            </w:pPr>
            <w:r>
              <w:rPr/>
              <w:t> </w:t>
            </w:r>
          </w:p>
        </w:tc>
        <w:tc>
          <w:tcPr>
            <w:tcW w:w="1038" w:type="dxa"/>
            <w:tcBorders/>
            <w:shd w:fill="CCEEFF" w:val="clear"/>
            <w:vAlign w:val="center"/>
          </w:tcPr>
          <w:p>
            <w:pPr>
              <w:pStyle w:val="TableContents"/>
              <w:bidi w:val="0"/>
              <w:spacing w:before="0" w:after="283"/>
              <w:jc w:val="center"/>
              <w:rPr/>
            </w:pPr>
            <w:r>
              <w:rPr/>
              <w:t>350,956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center"/>
              <w:rPr/>
            </w:pPr>
            <w:r>
              <w:rPr/>
              <w:t> </w:t>
            </w:r>
          </w:p>
        </w:tc>
        <w:tc>
          <w:tcPr>
            <w:tcW w:w="2422" w:type="dxa"/>
            <w:tcBorders/>
            <w:shd w:fill="CCEEFF" w:val="clear"/>
            <w:vAlign w:val="center"/>
          </w:tcPr>
          <w:p>
            <w:pPr>
              <w:pStyle w:val="TableContents"/>
              <w:bidi w:val="0"/>
              <w:spacing w:before="0" w:after="283"/>
              <w:jc w:val="center"/>
              <w:rPr/>
            </w:pPr>
            <w:r>
              <w:rPr/>
              <w:t>6,457,054</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Michael Earl Cornett Sr.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100" w:type="dxa"/>
            <w:tcBorders/>
            <w:shd w:fill="FFFFFF" w:val="clear"/>
            <w:vAlign w:val="center"/>
          </w:tcPr>
          <w:p>
            <w:pPr>
              <w:pStyle w:val="TableContents"/>
              <w:bidi w:val="0"/>
              <w:spacing w:before="0" w:after="283"/>
              <w:jc w:val="center"/>
              <w:rPr/>
            </w:pPr>
            <w:r>
              <w:rPr/>
              <w:t>39,839,451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center"/>
              <w:rPr/>
            </w:pPr>
            <w:r>
              <w:rPr/>
              <w:t> </w:t>
            </w:r>
          </w:p>
        </w:tc>
        <w:tc>
          <w:tcPr>
            <w:tcW w:w="1039" w:type="dxa"/>
            <w:tcBorders/>
            <w:shd w:fill="FFFFFF" w:val="clear"/>
            <w:vAlign w:val="center"/>
          </w:tcPr>
          <w:p>
            <w:pPr>
              <w:pStyle w:val="TableContents"/>
              <w:bidi w:val="0"/>
              <w:spacing w:before="0" w:after="283"/>
              <w:jc w:val="center"/>
              <w:rPr/>
            </w:pPr>
            <w:r>
              <w:rPr/>
              <w:t>47,646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center"/>
              <w:rPr/>
            </w:pPr>
            <w:r>
              <w:rPr/>
              <w:t> </w:t>
            </w:r>
          </w:p>
        </w:tc>
        <w:tc>
          <w:tcPr>
            <w:tcW w:w="1038" w:type="dxa"/>
            <w:tcBorders/>
            <w:shd w:fill="FFFFFF" w:val="clear"/>
            <w:vAlign w:val="center"/>
          </w:tcPr>
          <w:p>
            <w:pPr>
              <w:pStyle w:val="TableContents"/>
              <w:bidi w:val="0"/>
              <w:spacing w:before="0" w:after="283"/>
              <w:jc w:val="center"/>
              <w:rPr/>
            </w:pPr>
            <w:r>
              <w:rPr/>
              <w:t>350,956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center"/>
              <w:rPr/>
            </w:pPr>
            <w:r>
              <w:rPr/>
              <w:t> </w:t>
            </w:r>
          </w:p>
        </w:tc>
        <w:tc>
          <w:tcPr>
            <w:tcW w:w="2422" w:type="dxa"/>
            <w:tcBorders/>
            <w:shd w:fill="FFFFFF" w:val="clear"/>
            <w:vAlign w:val="center"/>
          </w:tcPr>
          <w:p>
            <w:pPr>
              <w:pStyle w:val="TableContents"/>
              <w:bidi w:val="0"/>
              <w:spacing w:before="0" w:after="283"/>
              <w:jc w:val="center"/>
              <w:rPr/>
            </w:pPr>
            <w:r>
              <w:rPr/>
              <w:t>6,457,054</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Sudhindra Kankanwadi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100" w:type="dxa"/>
            <w:tcBorders/>
            <w:shd w:fill="CCEEFF" w:val="clear"/>
            <w:vAlign w:val="center"/>
          </w:tcPr>
          <w:p>
            <w:pPr>
              <w:pStyle w:val="TableContents"/>
              <w:bidi w:val="0"/>
              <w:spacing w:before="0" w:after="283"/>
              <w:jc w:val="center"/>
              <w:rPr/>
            </w:pPr>
            <w:r>
              <w:rPr/>
              <w:t>39,817,758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center"/>
              <w:rPr/>
            </w:pPr>
            <w:r>
              <w:rPr/>
              <w:t> </w:t>
            </w:r>
          </w:p>
        </w:tc>
        <w:tc>
          <w:tcPr>
            <w:tcW w:w="1039" w:type="dxa"/>
            <w:tcBorders/>
            <w:shd w:fill="CCEEFF" w:val="clear"/>
            <w:vAlign w:val="center"/>
          </w:tcPr>
          <w:p>
            <w:pPr>
              <w:pStyle w:val="TableContents"/>
              <w:bidi w:val="0"/>
              <w:spacing w:before="0" w:after="283"/>
              <w:jc w:val="center"/>
              <w:rPr/>
            </w:pPr>
            <w:r>
              <w:rPr/>
              <w:t>69,207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center"/>
              <w:rPr/>
            </w:pPr>
            <w:r>
              <w:rPr/>
              <w:t> </w:t>
            </w:r>
          </w:p>
        </w:tc>
        <w:tc>
          <w:tcPr>
            <w:tcW w:w="1038" w:type="dxa"/>
            <w:tcBorders/>
            <w:shd w:fill="CCEEFF" w:val="clear"/>
            <w:vAlign w:val="center"/>
          </w:tcPr>
          <w:p>
            <w:pPr>
              <w:pStyle w:val="TableContents"/>
              <w:bidi w:val="0"/>
              <w:spacing w:before="0" w:after="283"/>
              <w:jc w:val="center"/>
              <w:rPr/>
            </w:pPr>
            <w:r>
              <w:rPr/>
              <w:t>350,906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center"/>
              <w:rPr/>
            </w:pPr>
            <w:r>
              <w:rPr/>
              <w:t> </w:t>
            </w:r>
          </w:p>
        </w:tc>
        <w:tc>
          <w:tcPr>
            <w:tcW w:w="2422" w:type="dxa"/>
            <w:tcBorders/>
            <w:shd w:fill="CCEEFF" w:val="clear"/>
            <w:vAlign w:val="center"/>
          </w:tcPr>
          <w:p>
            <w:pPr>
              <w:pStyle w:val="TableContents"/>
              <w:bidi w:val="0"/>
              <w:spacing w:before="0" w:after="283"/>
              <w:jc w:val="center"/>
              <w:rPr/>
            </w:pPr>
            <w:r>
              <w:rPr/>
              <w:t>6,457,054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2: Ratification of the Appointment of Independent Registered Public Accounting Firm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KNAV CPA LLP as the Company’s independent registered public accounting firm for the fiscal year ending December 31, 2025 was ratified by the stockholders, with votes as follows:</w:t>
      </w:r>
    </w:p>
    <w:p>
      <w:pPr>
        <w:pStyle w:val="TextBody"/>
        <w:bidi w:val="0"/>
        <w:spacing w:before="0" w:after="0"/>
        <w:ind w:left="0" w:right="0" w:hanging="0"/>
        <w:jc w:val="both"/>
        <w:rPr>
          <w:caps w:val="false"/>
          <w:smallCaps w:val="false"/>
        </w:rPr>
      </w:pPr>
      <w:r>
        <w:rPr>
          <w:caps w:val="false"/>
          <w:smallCaps w:val="false"/>
        </w:rPr>
        <w:t> </w:t>
      </w:r>
    </w:p>
    <w:tbl>
      <w:tblPr>
        <w:tblW w:w="6364" w:type="dxa"/>
        <w:jc w:val="left"/>
        <w:tblInd w:w="0" w:type="dxa"/>
        <w:tblLayout w:type="fixed"/>
        <w:tblCellMar>
          <w:top w:w="0" w:type="dxa"/>
          <w:left w:w="0" w:type="dxa"/>
          <w:bottom w:w="28" w:type="dxa"/>
          <w:right w:w="0" w:type="dxa"/>
        </w:tblCellMar>
      </w:tblPr>
      <w:tblGrid>
        <w:gridCol w:w="1115"/>
        <w:gridCol w:w="60"/>
        <w:gridCol w:w="60"/>
        <w:gridCol w:w="78"/>
        <w:gridCol w:w="1052"/>
        <w:gridCol w:w="60"/>
        <w:gridCol w:w="60"/>
        <w:gridCol w:w="77"/>
        <w:gridCol w:w="1038"/>
        <w:gridCol w:w="60"/>
        <w:gridCol w:w="60"/>
        <w:gridCol w:w="994"/>
        <w:gridCol w:w="1575"/>
        <w:gridCol w:w="75"/>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9" w:type="dxa"/>
            <w:gridSpan w:val="2"/>
            <w:tcBorders>
              <w:bottom w:val="single" w:sz="8" w:space="0" w:color="000000"/>
            </w:tcBorders>
            <w:vAlign w:val="center"/>
          </w:tcPr>
          <w:p>
            <w:pPr>
              <w:pStyle w:val="TableContents"/>
              <w:bidi w:val="0"/>
              <w:spacing w:before="0" w:after="283"/>
              <w:jc w:val="center"/>
              <w:rPr>
                <w:b/>
              </w:rPr>
            </w:pPr>
            <w:r>
              <w:rPr>
                <w:b/>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46,123,756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center"/>
              <w:rPr/>
            </w:pPr>
            <w:r>
              <w:rPr/>
              <w:t>206,127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center"/>
              <w:rPr/>
            </w:pPr>
            <w:r>
              <w:rPr/>
              <w:t>365,042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center"/>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3: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an amendment to the Company’s Certificate of Incorporation to effect a reverse stock split of the Company’s Common Stock, at a ratio in the range of 1 for 10 to 1 for 100, with the exact ratio to be determined in the discretion of the Board and with such reverse stock split to be effected at such time and date, if at all, as determined by the Board in its sole discretion, with votes as follows:</w:t>
      </w:r>
    </w:p>
    <w:p>
      <w:pPr>
        <w:pStyle w:val="TextBody"/>
        <w:bidi w:val="0"/>
        <w:spacing w:before="0" w:after="0"/>
        <w:ind w:left="0" w:right="0" w:hanging="0"/>
        <w:jc w:val="left"/>
        <w:rPr>
          <w:caps w:val="false"/>
          <w:smallCaps w:val="false"/>
        </w:rPr>
      </w:pPr>
      <w:r>
        <w:rPr>
          <w:caps w:val="false"/>
          <w:smallCaps w:val="false"/>
        </w:rPr>
        <w:t> </w:t>
      </w:r>
    </w:p>
    <w:tbl>
      <w:tblPr>
        <w:tblW w:w="6364" w:type="dxa"/>
        <w:jc w:val="left"/>
        <w:tblInd w:w="0" w:type="dxa"/>
        <w:tblLayout w:type="fixed"/>
        <w:tblCellMar>
          <w:top w:w="0" w:type="dxa"/>
          <w:left w:w="0" w:type="dxa"/>
          <w:bottom w:w="28" w:type="dxa"/>
          <w:right w:w="0" w:type="dxa"/>
        </w:tblCellMar>
      </w:tblPr>
      <w:tblGrid>
        <w:gridCol w:w="1115"/>
        <w:gridCol w:w="60"/>
        <w:gridCol w:w="60"/>
        <w:gridCol w:w="78"/>
        <w:gridCol w:w="1052"/>
        <w:gridCol w:w="60"/>
        <w:gridCol w:w="60"/>
        <w:gridCol w:w="77"/>
        <w:gridCol w:w="1038"/>
        <w:gridCol w:w="60"/>
        <w:gridCol w:w="60"/>
        <w:gridCol w:w="994"/>
        <w:gridCol w:w="1575"/>
        <w:gridCol w:w="75"/>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9" w:type="dxa"/>
            <w:gridSpan w:val="2"/>
            <w:tcBorders>
              <w:bottom w:val="single" w:sz="8" w:space="0" w:color="000000"/>
            </w:tcBorders>
            <w:vAlign w:val="center"/>
          </w:tcPr>
          <w:p>
            <w:pPr>
              <w:pStyle w:val="TableContents"/>
              <w:bidi w:val="0"/>
              <w:spacing w:before="0" w:after="283"/>
              <w:jc w:val="center"/>
              <w:rPr>
                <w:b/>
              </w:rPr>
            </w:pPr>
            <w:r>
              <w:rPr>
                <w:b/>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45,825,205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center"/>
              <w:rPr/>
            </w:pPr>
            <w:r>
              <w:rPr/>
              <w:t>508,447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center"/>
              <w:rPr/>
            </w:pPr>
            <w:r>
              <w:rPr/>
              <w:t>361,273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4"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center"/>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4: Approval of Issuance of Common Stock upon Exercise of Certain Warrants in Accordance with the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approved the issuance of up to an aggregate of 9,584,000 shares of the Company’s Common Stock issuable upon the exercise of certain warrants to purchase the Company’s Common Stock, in accordance with Nasdaq Listing Rule 5635(d), with votes as follows:</w:t>
      </w:r>
    </w:p>
    <w:p>
      <w:pPr>
        <w:pStyle w:val="TextBody"/>
        <w:bidi w:val="0"/>
        <w:spacing w:before="0" w:after="0"/>
        <w:ind w:left="360" w:right="0" w:hanging="360"/>
        <w:jc w:val="both"/>
        <w:rPr>
          <w:caps w:val="false"/>
          <w:smallCaps w:val="false"/>
        </w:rPr>
      </w:pPr>
      <w:r>
        <w:rPr>
          <w:caps w:val="false"/>
          <w:smallCaps w:val="false"/>
        </w:rPr>
        <w:t> </w:t>
      </w:r>
    </w:p>
    <w:tbl>
      <w:tblPr>
        <w:tblW w:w="6364" w:type="dxa"/>
        <w:jc w:val="left"/>
        <w:tblInd w:w="0" w:type="dxa"/>
        <w:tblLayout w:type="fixed"/>
        <w:tblCellMar>
          <w:top w:w="0" w:type="dxa"/>
          <w:left w:w="0" w:type="dxa"/>
          <w:bottom w:w="28" w:type="dxa"/>
          <w:right w:w="0" w:type="dxa"/>
        </w:tblCellMar>
      </w:tblPr>
      <w:tblGrid>
        <w:gridCol w:w="1115"/>
        <w:gridCol w:w="60"/>
        <w:gridCol w:w="60"/>
        <w:gridCol w:w="78"/>
        <w:gridCol w:w="1052"/>
        <w:gridCol w:w="60"/>
        <w:gridCol w:w="60"/>
        <w:gridCol w:w="77"/>
        <w:gridCol w:w="1038"/>
        <w:gridCol w:w="60"/>
        <w:gridCol w:w="60"/>
        <w:gridCol w:w="147"/>
        <w:gridCol w:w="2422"/>
        <w:gridCol w:w="75"/>
      </w:tblGrid>
      <w:tr>
        <w:trPr/>
        <w:tc>
          <w:tcPr>
            <w:tcW w:w="1115" w:type="dxa"/>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30" w:type="dxa"/>
            <w:gridSpan w:val="2"/>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69" w:type="dxa"/>
            <w:gridSpan w:val="2"/>
            <w:tcBorders>
              <w:bottom w:val="single" w:sz="8" w:space="0" w:color="000000"/>
            </w:tcBorders>
            <w:vAlign w:val="center"/>
          </w:tcPr>
          <w:p>
            <w:pPr>
              <w:pStyle w:val="TableContents"/>
              <w:bidi w:val="0"/>
              <w:spacing w:before="0" w:after="283"/>
              <w:jc w:val="center"/>
              <w:rPr>
                <w:b/>
              </w:rPr>
            </w:pPr>
            <w:r>
              <w:rPr>
                <w:b/>
              </w:rPr>
              <w:t>BROKER NON-VOTES</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39,765,068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center"/>
              <w:rPr/>
            </w:pPr>
            <w:r>
              <w:rPr/>
              <w:t>129,658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8" w:type="dxa"/>
            <w:tcBorders/>
            <w:shd w:fill="CCEEFF" w:val="clear"/>
            <w:tcMar>
              <w:bottom w:w="0" w:type="dxa"/>
            </w:tcMar>
            <w:vAlign w:val="center"/>
          </w:tcPr>
          <w:p>
            <w:pPr>
              <w:pStyle w:val="TableContents"/>
              <w:bidi w:val="0"/>
              <w:spacing w:before="0" w:after="283"/>
              <w:jc w:val="center"/>
              <w:rPr/>
            </w:pPr>
            <w:r>
              <w:rPr/>
              <w:t>343,145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 w:type="dxa"/>
            <w:tcBorders/>
            <w:shd w:fill="CCEEFF" w:val="clear"/>
            <w:tcMar>
              <w:bottom w:w="0" w:type="dxa"/>
            </w:tcMar>
            <w:vAlign w:val="center"/>
          </w:tcPr>
          <w:p>
            <w:pPr>
              <w:pStyle w:val="TableContents"/>
              <w:bidi w:val="0"/>
              <w:spacing w:before="0" w:after="283"/>
              <w:jc w:val="left"/>
              <w:rPr/>
            </w:pPr>
            <w:r>
              <w:rPr/>
              <w:t> </w:t>
            </w:r>
          </w:p>
        </w:tc>
        <w:tc>
          <w:tcPr>
            <w:tcW w:w="2422" w:type="dxa"/>
            <w:tcBorders/>
            <w:shd w:fill="CCEEFF" w:val="clear"/>
            <w:tcMar>
              <w:bottom w:w="0" w:type="dxa"/>
            </w:tcMar>
            <w:vAlign w:val="center"/>
          </w:tcPr>
          <w:p>
            <w:pPr>
              <w:pStyle w:val="TableContents"/>
              <w:bidi w:val="0"/>
              <w:spacing w:before="0" w:after="283"/>
              <w:jc w:val="center"/>
              <w:rPr/>
            </w:pPr>
            <w:r>
              <w:rPr/>
              <w:t>6,457,054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760"/>
        <w:gridCol w:w="545"/>
        <w:gridCol w:w="1955"/>
      </w:tblGrid>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STARDUST POWER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Roshan Pujari</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Roshan Pujari</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10, 2025</w:t>
            </w:r>
          </w:p>
        </w:tc>
        <w:tc>
          <w:tcPr>
            <w:tcW w:w="2500"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4125</Characters>
  <CharactersWithSpaces>4959</CharactersWithSpaces>
  <Paragraphs>344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