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333-286883</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2</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May 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1093470</wp:posOffset>
            </wp:positionH>
            <wp:positionV relativeFrom="paragraph">
              <wp:posOffset>142875</wp:posOffset>
            </wp:positionV>
            <wp:extent cx="4963160" cy="548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63160"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STARDUST POWER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13,024,513 Shares of Common Stock</w:t>
      </w:r>
    </w:p>
    <w:p>
      <w:pPr>
        <w:spacing w:after="0" w:line="225" w:lineRule="exact"/>
        <w:rPr>
          <w:sz w:val="24"/>
          <w:szCs w:val="24"/>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This prospectus supplement supplements the prospectus dated May 8, 2025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which forms a part of our registration statement on Form S-1 (No. 333-286883). This prospectus supplement is being filed to update and supplement the information in the Prospectus with the information contained in our current report on Form 8-K filed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on June 10, 2025 (the “</w:t>
      </w:r>
      <w:r>
        <w:rPr>
          <w:rFonts w:ascii="Times New Roman" w:cs="Times New Roman" w:eastAsia="Times New Roman" w:hAnsi="Times New Roman"/>
          <w:sz w:val="18"/>
          <w:szCs w:val="18"/>
          <w:b w:val="1"/>
          <w:bCs w:val="1"/>
          <w:color w:val="auto"/>
        </w:rPr>
        <w:t>Current Report</w:t>
      </w:r>
      <w:r>
        <w:rPr>
          <w:rFonts w:ascii="Times New Roman" w:cs="Times New Roman" w:eastAsia="Times New Roman" w:hAnsi="Times New Roman"/>
          <w:sz w:val="18"/>
          <w:szCs w:val="18"/>
          <w:color w:val="auto"/>
        </w:rPr>
        <w:t>”). Accordingly, we have attached the Current Report to this prospectus supplement.</w:t>
      </w:r>
    </w:p>
    <w:p>
      <w:pPr>
        <w:spacing w:after="0" w:line="176" w:lineRule="exact"/>
        <w:rPr>
          <w:sz w:val="24"/>
          <w:szCs w:val="24"/>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This prospectus relates to the resale from time to time of up to 13,024,513 shares of Common Stock, par value $0.0001 per share (the “</w:t>
      </w:r>
      <w:r>
        <w:rPr>
          <w:rFonts w:ascii="Times New Roman" w:cs="Times New Roman" w:eastAsia="Times New Roman" w:hAnsi="Times New Roman"/>
          <w:sz w:val="18"/>
          <w:szCs w:val="18"/>
          <w:b w:val="1"/>
          <w:bCs w:val="1"/>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of Stardust Power,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Stardust Power</w:t>
      </w:r>
      <w:r>
        <w:rPr>
          <w:rFonts w:ascii="Times New Roman" w:cs="Times New Roman" w:eastAsia="Times New Roman" w:hAnsi="Times New Roman"/>
          <w:sz w:val="18"/>
          <w:szCs w:val="18"/>
          <w:color w:val="auto"/>
        </w:rPr>
        <w:t>”) by the selling stockholders identified in this prospectus (the “</w:t>
      </w:r>
      <w:r>
        <w:rPr>
          <w:rFonts w:ascii="Times New Roman" w:cs="Times New Roman" w:eastAsia="Times New Roman" w:hAnsi="Times New Roman"/>
          <w:sz w:val="18"/>
          <w:szCs w:val="18"/>
          <w:b w:val="1"/>
          <w:bCs w:val="1"/>
          <w:color w:val="auto"/>
        </w:rPr>
        <w:t>Selling Stockholders</w:t>
      </w:r>
      <w:r>
        <w:rPr>
          <w:rFonts w:ascii="Times New Roman" w:cs="Times New Roman" w:eastAsia="Times New Roman" w:hAnsi="Times New Roman"/>
          <w:sz w:val="18"/>
          <w:szCs w:val="18"/>
          <w:color w:val="auto"/>
        </w:rPr>
        <w:t>”), including their pledgees, assignees, donees, transferees or their respective successors-in-interest consisting of:</w:t>
      </w:r>
    </w:p>
    <w:p>
      <w:pPr>
        <w:spacing w:after="0" w:line="175" w:lineRule="exact"/>
        <w:rPr>
          <w:sz w:val="24"/>
          <w:szCs w:val="24"/>
          <w:color w:val="auto"/>
        </w:rPr>
      </w:pPr>
    </w:p>
    <w:p>
      <w:pPr>
        <w:ind w:left="660" w:hanging="328"/>
        <w:spacing w:after="0" w:line="261"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 shares of Common Stock issued to J.V.B. Financial Group, LLC, for services provided through its Cohen &amp; Company Capital Markets division (“</w:t>
      </w:r>
      <w:r>
        <w:rPr>
          <w:rFonts w:ascii="Times New Roman" w:cs="Times New Roman" w:eastAsia="Times New Roman" w:hAnsi="Times New Roman"/>
          <w:sz w:val="18"/>
          <w:szCs w:val="18"/>
          <w:b w:val="1"/>
          <w:bCs w:val="1"/>
          <w:color w:val="auto"/>
        </w:rPr>
        <w:t>J.V.B.</w:t>
      </w:r>
      <w:r>
        <w:rPr>
          <w:rFonts w:ascii="Times New Roman" w:cs="Times New Roman" w:eastAsia="Times New Roman" w:hAnsi="Times New Roman"/>
          <w:sz w:val="18"/>
          <w:szCs w:val="18"/>
          <w:color w:val="auto"/>
        </w:rPr>
        <w:t>”) related to the Company’s business combination completed on July 8, 2024 (the “</w:t>
      </w:r>
      <w:r>
        <w:rPr>
          <w:rFonts w:ascii="Times New Roman" w:cs="Times New Roman" w:eastAsia="Times New Roman" w:hAnsi="Times New Roman"/>
          <w:sz w:val="18"/>
          <w:szCs w:val="18"/>
          <w:b w:val="1"/>
          <w:bCs w:val="1"/>
          <w:color w:val="auto"/>
        </w:rPr>
        <w:t>J.V.B. Shares</w:t>
      </w:r>
      <w:r>
        <w:rPr>
          <w:rFonts w:ascii="Times New Roman" w:cs="Times New Roman" w:eastAsia="Times New Roman" w:hAnsi="Times New Roman"/>
          <w:sz w:val="18"/>
          <w:szCs w:val="18"/>
          <w:color w:val="auto"/>
        </w:rPr>
        <w:t>”);</w:t>
      </w:r>
    </w:p>
    <w:p>
      <w:pPr>
        <w:ind w:left="660" w:right="2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977,653 shares of Common Stock (the “</w:t>
      </w:r>
      <w:r>
        <w:rPr>
          <w:rFonts w:ascii="Times New Roman" w:cs="Times New Roman" w:eastAsia="Times New Roman" w:hAnsi="Times New Roman"/>
          <w:sz w:val="18"/>
          <w:szCs w:val="18"/>
          <w:b w:val="1"/>
          <w:bCs w:val="1"/>
          <w:color w:val="auto"/>
        </w:rPr>
        <w:t>December 6, 2024 Loan Shares</w:t>
      </w:r>
      <w:r>
        <w:rPr>
          <w:rFonts w:ascii="Times New Roman" w:cs="Times New Roman" w:eastAsia="Times New Roman" w:hAnsi="Times New Roman"/>
          <w:sz w:val="18"/>
          <w:szCs w:val="18"/>
          <w:color w:val="auto"/>
        </w:rPr>
        <w:t>”) issued to a Selling Stockholder as partial consideration for the purchase of $1,750,000 of promissory notes pursuant to a terms sheet dated December 6, 2024 (the “</w:t>
      </w:r>
      <w:r>
        <w:rPr>
          <w:rFonts w:ascii="Times New Roman" w:cs="Times New Roman" w:eastAsia="Times New Roman" w:hAnsi="Times New Roman"/>
          <w:sz w:val="18"/>
          <w:szCs w:val="18"/>
          <w:b w:val="1"/>
          <w:bCs w:val="1"/>
          <w:color w:val="auto"/>
        </w:rPr>
        <w:t>December 6, 2024 Loan</w:t>
      </w:r>
      <w:r>
        <w:rPr>
          <w:rFonts w:ascii="Times New Roman" w:cs="Times New Roman" w:eastAsia="Times New Roman" w:hAnsi="Times New Roman"/>
          <w:sz w:val="18"/>
          <w:szCs w:val="18"/>
          <w:color w:val="auto"/>
        </w:rPr>
        <w:t>”);</w:t>
      </w:r>
    </w:p>
    <w:p>
      <w:pPr>
        <w:ind w:left="660" w:right="2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488,826 shares of Common Stock issuable upon the exercise of warrants to purchase shares of Common Stock issued as partial consideration for the December 6, 2024 Loan (the “</w:t>
      </w:r>
      <w:r>
        <w:rPr>
          <w:rFonts w:ascii="Times New Roman" w:cs="Times New Roman" w:eastAsia="Times New Roman" w:hAnsi="Times New Roman"/>
          <w:sz w:val="18"/>
          <w:szCs w:val="18"/>
          <w:b w:val="1"/>
          <w:bCs w:val="1"/>
          <w:color w:val="auto"/>
        </w:rPr>
        <w:t>December 6, 2024 Loan Warrants</w:t>
      </w:r>
      <w:r>
        <w:rPr>
          <w:rFonts w:ascii="Times New Roman" w:cs="Times New Roman" w:eastAsia="Times New Roman" w:hAnsi="Times New Roman"/>
          <w:sz w:val="18"/>
          <w:szCs w:val="18"/>
          <w:color w:val="auto"/>
        </w:rPr>
        <w:t>”);</w:t>
      </w:r>
    </w:p>
    <w:p>
      <w:pPr>
        <w:jc w:val="both"/>
        <w:ind w:left="66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754,187 shares of Common Stock (the “</w:t>
      </w:r>
      <w:r>
        <w:rPr>
          <w:rFonts w:ascii="Times New Roman" w:cs="Times New Roman" w:eastAsia="Times New Roman" w:hAnsi="Times New Roman"/>
          <w:sz w:val="18"/>
          <w:szCs w:val="18"/>
          <w:b w:val="1"/>
          <w:bCs w:val="1"/>
          <w:color w:val="auto"/>
        </w:rPr>
        <w:t>December 13, 2024 Loan Shares</w:t>
      </w:r>
      <w:r>
        <w:rPr>
          <w:rFonts w:ascii="Times New Roman" w:cs="Times New Roman" w:eastAsia="Times New Roman" w:hAnsi="Times New Roman"/>
          <w:sz w:val="18"/>
          <w:szCs w:val="18"/>
          <w:color w:val="auto"/>
        </w:rPr>
        <w:t>”) issued to Selling Stockholders as partial consideration for the purchase in the aggregate of $1,800,000 of promissory notes pursuant to a terms sheet dated December 13, 2024 and securities purchase agreement dated April 2025 (the “</w:t>
      </w:r>
      <w:r>
        <w:rPr>
          <w:rFonts w:ascii="Times New Roman" w:cs="Times New Roman" w:eastAsia="Times New Roman" w:hAnsi="Times New Roman"/>
          <w:sz w:val="18"/>
          <w:szCs w:val="18"/>
          <w:b w:val="1"/>
          <w:bCs w:val="1"/>
          <w:color w:val="auto"/>
        </w:rPr>
        <w:t>December 13, 2024 Loan</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377,092 shares of Common Stock issuable upon the exercise of warrants to purchase shares of Common Stock issued as partial consideration for the December 13, 2024 Loan (the “</w:t>
      </w:r>
      <w:r>
        <w:rPr>
          <w:rFonts w:ascii="Times New Roman" w:cs="Times New Roman" w:eastAsia="Times New Roman" w:hAnsi="Times New Roman"/>
          <w:sz w:val="18"/>
          <w:szCs w:val="18"/>
          <w:b w:val="1"/>
          <w:bCs w:val="1"/>
          <w:color w:val="auto"/>
        </w:rPr>
        <w:t>December 13 2024 Loan Warrants</w:t>
      </w:r>
      <w:r>
        <w:rPr>
          <w:rFonts w:ascii="Times New Roman" w:cs="Times New Roman" w:eastAsia="Times New Roman" w:hAnsi="Times New Roman"/>
          <w:sz w:val="18"/>
          <w:szCs w:val="18"/>
          <w:color w:val="auto"/>
        </w:rPr>
        <w:t>”);</w:t>
      </w:r>
    </w:p>
    <w:p>
      <w:pPr>
        <w:ind w:left="660" w:right="2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128,504 shares of Common Stock (the “</w:t>
      </w:r>
      <w:r>
        <w:rPr>
          <w:rFonts w:ascii="Times New Roman" w:cs="Times New Roman" w:eastAsia="Times New Roman" w:hAnsi="Times New Roman"/>
          <w:sz w:val="18"/>
          <w:szCs w:val="18"/>
          <w:b w:val="1"/>
          <w:bCs w:val="1"/>
          <w:color w:val="auto"/>
        </w:rPr>
        <w:t>2024 Private Placement Shares</w:t>
      </w:r>
      <w:r>
        <w:rPr>
          <w:rFonts w:ascii="Times New Roman" w:cs="Times New Roman" w:eastAsia="Times New Roman" w:hAnsi="Times New Roman"/>
          <w:sz w:val="18"/>
          <w:szCs w:val="18"/>
          <w:color w:val="auto"/>
        </w:rPr>
        <w:t>”) issued to Selling Stockholders in a private placement pursuant to a terms sheet entered into on December 31, 2024 (the “</w:t>
      </w:r>
      <w:r>
        <w:rPr>
          <w:rFonts w:ascii="Times New Roman" w:cs="Times New Roman" w:eastAsia="Times New Roman" w:hAnsi="Times New Roman"/>
          <w:sz w:val="18"/>
          <w:szCs w:val="18"/>
          <w:b w:val="1"/>
          <w:bCs w:val="1"/>
          <w:color w:val="auto"/>
        </w:rPr>
        <w:t>2024 Private Placement</w:t>
      </w:r>
      <w:r>
        <w:rPr>
          <w:rFonts w:ascii="Times New Roman" w:cs="Times New Roman" w:eastAsia="Times New Roman" w:hAnsi="Times New Roman"/>
          <w:sz w:val="18"/>
          <w:szCs w:val="18"/>
          <w:color w:val="auto"/>
        </w:rPr>
        <w:t>”);</w:t>
      </w:r>
    </w:p>
    <w:p>
      <w:pPr>
        <w:ind w:left="66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64,251 shares of Common Stock issuable upon the exercise of warrants to purchase shares of Common Stock issued in the 2024 Private Placement (the “</w:t>
      </w:r>
      <w:r>
        <w:rPr>
          <w:rFonts w:ascii="Times New Roman" w:cs="Times New Roman" w:eastAsia="Times New Roman" w:hAnsi="Times New Roman"/>
          <w:sz w:val="18"/>
          <w:szCs w:val="18"/>
          <w:b w:val="1"/>
          <w:bCs w:val="1"/>
          <w:color w:val="auto"/>
        </w:rPr>
        <w:t>2024 Private Placement Warrants</w:t>
      </w:r>
      <w:r>
        <w:rPr>
          <w:rFonts w:ascii="Times New Roman" w:cs="Times New Roman" w:eastAsia="Times New Roman" w:hAnsi="Times New Roman"/>
          <w:sz w:val="18"/>
          <w:szCs w:val="18"/>
          <w:color w:val="auto"/>
        </w:rPr>
        <w:t>”);</w:t>
      </w:r>
    </w:p>
    <w:p>
      <w:pPr>
        <w:ind w:left="66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 shares of Common Stock (the “</w:t>
      </w:r>
      <w:r>
        <w:rPr>
          <w:rFonts w:ascii="Times New Roman" w:cs="Times New Roman" w:eastAsia="Times New Roman" w:hAnsi="Times New Roman"/>
          <w:sz w:val="18"/>
          <w:szCs w:val="18"/>
          <w:b w:val="1"/>
          <w:bCs w:val="1"/>
          <w:color w:val="auto"/>
        </w:rPr>
        <w:t>License Agreement Shares</w:t>
      </w:r>
      <w:r>
        <w:rPr>
          <w:rFonts w:ascii="Times New Roman" w:cs="Times New Roman" w:eastAsia="Times New Roman" w:hAnsi="Times New Roman"/>
          <w:sz w:val="18"/>
          <w:szCs w:val="18"/>
          <w:color w:val="auto"/>
        </w:rPr>
        <w:t>”) issued to a Selling Stockholder pursuant to a License Agreement dated February 7, 2025; and</w:t>
      </w:r>
    </w:p>
    <w:p>
      <w:pPr>
        <w:jc w:val="both"/>
        <w:ind w:left="660" w:hanging="328"/>
        <w:spacing w:after="0" w:line="253"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9,584,000 shares of Common Stock issuable upon the exercise of warrants to purchase shares of Common Stock (the “</w:t>
      </w:r>
      <w:r>
        <w:rPr>
          <w:rFonts w:ascii="Times New Roman" w:cs="Times New Roman" w:eastAsia="Times New Roman" w:hAnsi="Times New Roman"/>
          <w:sz w:val="18"/>
          <w:szCs w:val="18"/>
          <w:b w:val="1"/>
          <w:bCs w:val="1"/>
          <w:color w:val="auto"/>
        </w:rPr>
        <w:t>Inducement Warrants</w:t>
      </w:r>
      <w:r>
        <w:rPr>
          <w:rFonts w:ascii="Times New Roman" w:cs="Times New Roman" w:eastAsia="Times New Roman" w:hAnsi="Times New Roman"/>
          <w:sz w:val="18"/>
          <w:szCs w:val="18"/>
          <w:color w:val="auto"/>
        </w:rPr>
        <w:t>,” and together with the December 6 2024 Loan Warrants, December 13 2024 Loan Warrants and 2024 Private Placement Warrants,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issued to a Selling Stockholder in connection with the exercise of existing warrants to purchase shares of Common Stock pursuant to a warrant inducement agreement date March 16, 2025 (the “</w:t>
      </w:r>
      <w:r>
        <w:rPr>
          <w:rFonts w:ascii="Times New Roman" w:cs="Times New Roman" w:eastAsia="Times New Roman" w:hAnsi="Times New Roman"/>
          <w:sz w:val="18"/>
          <w:szCs w:val="18"/>
          <w:b w:val="1"/>
          <w:bCs w:val="1"/>
          <w:color w:val="auto"/>
        </w:rPr>
        <w:t>Warrant Inducement</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Selling Stockholders, or its or their pledgees, assignees, donees, transferees or their respective successors-in-interest, from time to time may offer and sell through public or private transactions at prevailing market prices, at prices related to prevailing market prices or at privately negotiated prices the shares held by them directly or through underwriters, agents or broker-dealers on terms to be determined at the time of sale, as described in more detail in this prospectus. See “Plan of Distribution” beginning on page 114 of this prospectus for more information about how the Selling Stockholders may sell their respective Common Stock. The Selling Stockholders may be deemed “underwriters” within the meaning of Section 2(a)(11) of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not selling any securities under this prospectus and will not receive any of the proceeds from the sale of our Common Stock by the Selling Stockholders. However, we may receive up to $17,405,743 aggregate gross proceeds if the Warrants are exercised for cash. We will pay the expenses incurred in registering under the Securities Act the offer and sale of the shares of Common Stock to which this prospectus relates by the Selling Stockholder, including legal and accounting fees.</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Our Common Stock is currently traded on The Nasdaq Global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under the trading symbol “SDST.” On June 9, 2025, the closing sale price of our Common Stock as reported by Nasdaq was $0.61.</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and a “smaller reporting company” as defined in Item 10(f)(1) of Regulation S-K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and are subject to reduced public company reporting requirements. As such, we have elected to comply with reduced public company reporting requirements. This prospectus complies with the requirements that apply to an issuer that is an emerging growth company.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 should read this prospectus and any prospectus supplement or amendment carefully before you invest in our Common Stock.</w:t>
      </w:r>
    </w:p>
    <w:p>
      <w:pPr>
        <w:spacing w:after="0" w:line="22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You should review carefully the risks and uncertainties described in the section titled “</w:t>
      </w:r>
      <w:r>
        <w:rPr>
          <w:rFonts w:ascii="Times New Roman" w:cs="Times New Roman" w:eastAsia="Times New Roman" w:hAnsi="Times New Roman"/>
          <w:sz w:val="18"/>
          <w:szCs w:val="18"/>
          <w:b w:val="1"/>
          <w:bCs w:val="1"/>
          <w:i w:val="1"/>
          <w:iCs w:val="1"/>
          <w:u w:val="single" w:color="auto"/>
          <w:color w:val="auto"/>
        </w:rPr>
        <w:t>Risk Factors</w:t>
      </w:r>
      <w:r>
        <w:rPr>
          <w:rFonts w:ascii="Times New Roman" w:cs="Times New Roman" w:eastAsia="Times New Roman" w:hAnsi="Times New Roman"/>
          <w:sz w:val="18"/>
          <w:szCs w:val="18"/>
          <w:b w:val="1"/>
          <w:bCs w:val="1"/>
          <w:color w:val="auto"/>
        </w:rPr>
        <w:t>” beginning on page 5 of the Prospectus, and under similar headings in any amendments or supplements to the Prospectus.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accuracy or adequacy of the Prospectus or this prospectus supplement. Any representation to the contrary is a criminal offense.</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June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508635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0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Pursuant to Section 13 or Section 15(d)</w:t>
      </w:r>
    </w:p>
    <w:p>
      <w:pPr>
        <w:spacing w:after="0" w:line="3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9, 2025</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STARDUST POWER INC.</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Delaware</w:t>
            </w:r>
          </w:p>
        </w:tc>
        <w:tc>
          <w:tcPr>
            <w:tcW w:w="428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w w:val="99"/>
              </w:rPr>
              <w:t>001-39875</w:t>
            </w: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2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99-3863616</w:t>
            </w:r>
          </w:p>
        </w:tc>
      </w:tr>
      <w:tr>
        <w:trPr>
          <w:trHeight w:val="191"/>
        </w:trPr>
        <w:tc>
          <w:tcPr>
            <w:tcW w:w="3160" w:type="dxa"/>
            <w:vAlign w:val="bottom"/>
            <w:tcBorders>
              <w:top w:val="single" w:sz="8" w:color="auto"/>
            </w:tcBorders>
          </w:tcPr>
          <w:p>
            <w:pPr>
              <w:jc w:val="center"/>
              <w:ind w:left="370"/>
              <w:spacing w:after="0" w:line="19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4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3020" w:type="dxa"/>
            <w:vAlign w:val="bottom"/>
            <w:tcBorders>
              <w:top w:val="single" w:sz="8" w:color="auto"/>
            </w:tcBorders>
          </w:tcPr>
          <w:p>
            <w:pPr>
              <w:jc w:val="center"/>
              <w:ind w:right="47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6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80" w:type="dxa"/>
            <w:vAlign w:val="bottom"/>
            <w:gridSpan w:val="3"/>
          </w:tcPr>
          <w:p>
            <w:pPr>
              <w:jc w:val="center"/>
              <w:ind w:right="780"/>
              <w:spacing w:after="0"/>
              <w:rPr>
                <w:sz w:val="20"/>
                <w:szCs w:val="20"/>
                <w:color w:val="auto"/>
              </w:rPr>
            </w:pPr>
            <w:r>
              <w:rPr>
                <w:rFonts w:ascii="Times New Roman" w:cs="Times New Roman" w:eastAsia="Times New Roman" w:hAnsi="Times New Roman"/>
                <w:sz w:val="18"/>
                <w:szCs w:val="18"/>
                <w:color w:val="auto"/>
                <w:w w:val="98"/>
              </w:rPr>
              <w:t>File Number)</w:t>
            </w:r>
          </w:p>
        </w:tc>
        <w:tc>
          <w:tcPr>
            <w:tcW w:w="302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14"/>
        </w:trPr>
        <w:tc>
          <w:tcPr>
            <w:tcW w:w="3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8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color w:val="auto"/>
                <w:w w:val="99"/>
              </w:rPr>
              <w:t>15 E. Putnam Ave, Suite 378</w:t>
            </w:r>
          </w:p>
        </w:tc>
        <w:tc>
          <w:tcPr>
            <w:tcW w:w="3020" w:type="dxa"/>
            <w:vAlign w:val="bottom"/>
          </w:tcPr>
          <w:p>
            <w:pPr>
              <w:spacing w:after="0"/>
              <w:rPr>
                <w:sz w:val="24"/>
                <w:szCs w:val="24"/>
                <w:color w:val="auto"/>
              </w:rPr>
            </w:pPr>
          </w:p>
        </w:tc>
      </w:tr>
      <w:tr>
        <w:trPr>
          <w:trHeight w:val="216"/>
        </w:trPr>
        <w:tc>
          <w:tcPr>
            <w:tcW w:w="3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8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color w:val="auto"/>
                <w:w w:val="99"/>
              </w:rPr>
              <w:t>Greenwich, Connecticut 06830</w:t>
            </w:r>
          </w:p>
        </w:tc>
        <w:tc>
          <w:tcPr>
            <w:tcW w:w="3020" w:type="dxa"/>
            <w:vAlign w:val="bottom"/>
          </w:tcPr>
          <w:p>
            <w:pPr>
              <w:spacing w:after="0"/>
              <w:rPr>
                <w:sz w:val="18"/>
                <w:szCs w:val="18"/>
                <w:color w:val="auto"/>
              </w:rPr>
            </w:pPr>
          </w:p>
        </w:tc>
      </w:tr>
      <w:tr>
        <w:trPr>
          <w:trHeight w:val="234"/>
        </w:trPr>
        <w:tc>
          <w:tcPr>
            <w:tcW w:w="3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0" w:type="dxa"/>
            <w:vAlign w:val="bottom"/>
            <w:gridSpan w:val="4"/>
          </w:tcPr>
          <w:p>
            <w:pPr>
              <w:jc w:val="center"/>
              <w:ind w:right="5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3020" w:type="dxa"/>
            <w:vAlign w:val="bottom"/>
          </w:tcPr>
          <w:p>
            <w:pPr>
              <w:spacing w:after="0"/>
              <w:rPr>
                <w:sz w:val="20"/>
                <w:szCs w:val="20"/>
                <w:color w:val="auto"/>
              </w:rPr>
            </w:pPr>
          </w:p>
        </w:tc>
      </w:tr>
      <w:tr>
        <w:trPr>
          <w:trHeight w:val="414"/>
        </w:trPr>
        <w:tc>
          <w:tcPr>
            <w:tcW w:w="3160" w:type="dxa"/>
            <w:vAlign w:val="bottom"/>
          </w:tcPr>
          <w:p>
            <w:pPr>
              <w:spacing w:after="0"/>
              <w:rPr>
                <w:sz w:val="24"/>
                <w:szCs w:val="24"/>
                <w:color w:val="auto"/>
              </w:rPr>
            </w:pPr>
          </w:p>
        </w:tc>
        <w:tc>
          <w:tcPr>
            <w:tcW w:w="428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w w:val="99"/>
              </w:rPr>
              <w:t>800-742-3095</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34"/>
        </w:trPr>
        <w:tc>
          <w:tcPr>
            <w:tcW w:w="3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0" w:type="dxa"/>
            <w:vAlign w:val="bottom"/>
            <w:gridSpan w:val="4"/>
          </w:tcPr>
          <w:p>
            <w:pPr>
              <w:jc w:val="center"/>
              <w:ind w:right="60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020" w:type="dxa"/>
            <w:vAlign w:val="bottom"/>
          </w:tcPr>
          <w:p>
            <w:pPr>
              <w:spacing w:after="0"/>
              <w:rPr>
                <w:sz w:val="20"/>
                <w:szCs w:val="20"/>
                <w:color w:val="auto"/>
              </w:rPr>
            </w:pPr>
          </w:p>
        </w:tc>
      </w:tr>
      <w:tr>
        <w:trPr>
          <w:trHeight w:val="414"/>
        </w:trPr>
        <w:tc>
          <w:tcPr>
            <w:tcW w:w="3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8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Not Applicable</w:t>
            </w:r>
          </w:p>
        </w:tc>
        <w:tc>
          <w:tcPr>
            <w:tcW w:w="3020" w:type="dxa"/>
            <w:vAlign w:val="bottom"/>
          </w:tcPr>
          <w:p>
            <w:pPr>
              <w:spacing w:after="0"/>
              <w:rPr>
                <w:sz w:val="24"/>
                <w:szCs w:val="24"/>
                <w:color w:val="auto"/>
              </w:rPr>
            </w:pPr>
          </w:p>
        </w:tc>
      </w:tr>
      <w:tr>
        <w:trPr>
          <w:trHeight w:val="234"/>
        </w:trPr>
        <w:tc>
          <w:tcPr>
            <w:tcW w:w="3160" w:type="dxa"/>
            <w:vAlign w:val="bottom"/>
          </w:tcPr>
          <w:p>
            <w:pPr>
              <w:spacing w:after="0"/>
              <w:rPr>
                <w:sz w:val="20"/>
                <w:szCs w:val="20"/>
                <w:color w:val="auto"/>
              </w:rPr>
            </w:pPr>
          </w:p>
        </w:tc>
        <w:tc>
          <w:tcPr>
            <w:tcW w:w="50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3020" w:type="dxa"/>
            <w:vAlign w:val="bottom"/>
          </w:tcPr>
          <w:p>
            <w:pPr>
              <w:spacing w:after="0"/>
              <w:rPr>
                <w:sz w:val="20"/>
                <w:szCs w:val="20"/>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0"/>
          <w:szCs w:val="20"/>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0"/>
        </w:trPr>
        <w:tc>
          <w:tcPr>
            <w:tcW w:w="4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SDST</w:t>
            </w:r>
          </w:p>
        </w:tc>
        <w:tc>
          <w:tcPr>
            <w:tcW w:w="220" w:type="dxa"/>
            <w:vAlign w:val="bottom"/>
            <w:tcBorders>
              <w:top w:val="single" w:sz="8" w:color="CCEEFF"/>
            </w:tcBorders>
            <w:shd w:val="clear" w:color="auto" w:fill="CCEEFF"/>
          </w:tcPr>
          <w:p>
            <w:pPr>
              <w:spacing w:after="0"/>
              <w:rPr>
                <w:sz w:val="18"/>
                <w:szCs w:val="18"/>
                <w:color w:val="auto"/>
              </w:rPr>
            </w:pPr>
          </w:p>
        </w:tc>
        <w:tc>
          <w:tcPr>
            <w:tcW w:w="4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r>
        <w:trPr>
          <w:trHeight w:val="198"/>
        </w:trPr>
        <w:tc>
          <w:tcPr>
            <w:tcW w:w="462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Redeemable warrants, each whole warrant exercisable for</w:t>
            </w:r>
          </w:p>
        </w:tc>
        <w:tc>
          <w:tcPr>
            <w:tcW w:w="2240" w:type="dxa"/>
            <w:vAlign w:val="bottom"/>
            <w:gridSpan w:val="2"/>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w w:val="98"/>
              </w:rPr>
              <w:t>SDSTW</w:t>
            </w:r>
          </w:p>
        </w:tc>
        <w:tc>
          <w:tcPr>
            <w:tcW w:w="43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Global Market</w:t>
            </w:r>
          </w:p>
        </w:tc>
      </w:tr>
      <w:tr>
        <w:trPr>
          <w:trHeight w:val="234"/>
        </w:trPr>
        <w:tc>
          <w:tcPr>
            <w:tcW w:w="4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one share of Common Stock at an exercise price of $11.50</w:t>
            </w: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80" w:type="dxa"/>
            <w:vAlign w:val="bottom"/>
          </w:tcPr>
          <w:p>
            <w:pPr>
              <w:spacing w:after="0"/>
              <w:rPr>
                <w:sz w:val="20"/>
                <w:szCs w:val="20"/>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At the 2025 Annual Meeting of Stockholders of Stardust Power, Inc. (the “Company”) held on June 9, 2025, the Company’s stockholders voted upon the following four proposals, each of which is described in more detail in the Company’s definitive proxy statement filed with the Securities and Exchange Commission on April 28, 2025. The final vote results for each proposal were as follows: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1: Election of Directors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stockholders elected each of the individuals set forth below to the Board of Directors of the Company (the “Board”) to serve a one-year term expiring at the Company’s 2026 annual meeting of stockholders: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BROKER NON-</w:t>
            </w:r>
          </w:p>
        </w:tc>
      </w:tr>
      <w:tr>
        <w:trPr>
          <w:trHeight w:val="238"/>
        </w:trPr>
        <w:tc>
          <w:tcPr>
            <w:tcW w:w="3380" w:type="dxa"/>
            <w:vAlign w:val="bottom"/>
          </w:tcPr>
          <w:p>
            <w:pPr>
              <w:spacing w:after="0"/>
              <w:rPr>
                <w:sz w:val="20"/>
                <w:szCs w:val="20"/>
                <w:color w:val="auto"/>
              </w:rPr>
            </w:pPr>
          </w:p>
        </w:tc>
        <w:tc>
          <w:tcPr>
            <w:tcW w:w="206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FOR</w:t>
            </w:r>
          </w:p>
        </w:tc>
        <w:tc>
          <w:tcPr>
            <w:tcW w:w="202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00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78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VOTES</w:t>
            </w:r>
          </w:p>
        </w:tc>
      </w:tr>
      <w:tr>
        <w:trPr>
          <w:trHeight w:val="209"/>
        </w:trPr>
        <w:tc>
          <w:tcPr>
            <w:tcW w:w="3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Roshan Pujari</w:t>
            </w:r>
          </w:p>
        </w:tc>
        <w:tc>
          <w:tcPr>
            <w:tcW w:w="17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39,824,281</w:t>
            </w:r>
          </w:p>
        </w:tc>
        <w:tc>
          <w:tcPr>
            <w:tcW w:w="36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63,384</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350,206</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6,457,054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Anupam Agarwal</w:t>
            </w:r>
          </w:p>
        </w:tc>
        <w:tc>
          <w:tcPr>
            <w:tcW w:w="17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39,816,406</w:t>
            </w:r>
          </w:p>
        </w:tc>
        <w:tc>
          <w:tcPr>
            <w:tcW w:w="360" w:type="dxa"/>
            <w:vAlign w:val="bottom"/>
          </w:tcPr>
          <w:p>
            <w:pPr>
              <w:spacing w:after="0"/>
              <w:rPr>
                <w:sz w:val="18"/>
                <w:szCs w:val="18"/>
                <w:color w:val="auto"/>
              </w:rPr>
            </w:pPr>
          </w:p>
        </w:tc>
        <w:tc>
          <w:tcPr>
            <w:tcW w:w="17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68.859</w:t>
            </w:r>
          </w:p>
        </w:tc>
        <w:tc>
          <w:tcPr>
            <w:tcW w:w="320" w:type="dxa"/>
            <w:vAlign w:val="bottom"/>
          </w:tcPr>
          <w:p>
            <w:pPr>
              <w:spacing w:after="0"/>
              <w:rPr>
                <w:sz w:val="18"/>
                <w:szCs w:val="18"/>
                <w:color w:val="auto"/>
              </w:rPr>
            </w:pPr>
          </w:p>
        </w:tc>
        <w:tc>
          <w:tcPr>
            <w:tcW w:w="16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352,606</w:t>
            </w:r>
          </w:p>
        </w:tc>
        <w:tc>
          <w:tcPr>
            <w:tcW w:w="320" w:type="dxa"/>
            <w:vAlign w:val="bottom"/>
          </w:tcPr>
          <w:p>
            <w:pPr>
              <w:spacing w:after="0"/>
              <w:rPr>
                <w:sz w:val="18"/>
                <w:szCs w:val="18"/>
                <w:color w:val="auto"/>
              </w:rPr>
            </w:pPr>
          </w:p>
        </w:tc>
        <w:tc>
          <w:tcPr>
            <w:tcW w:w="16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6,457,054</w:t>
            </w: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Martyn Buttenshaw</w:t>
            </w:r>
          </w:p>
        </w:tc>
        <w:tc>
          <w:tcPr>
            <w:tcW w:w="17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39,822,701</w:t>
            </w:r>
          </w:p>
        </w:tc>
        <w:tc>
          <w:tcPr>
            <w:tcW w:w="36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66,767</w:t>
            </w: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348,403</w:t>
            </w: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6,457,054</w:t>
            </w:r>
          </w:p>
        </w:tc>
        <w:tc>
          <w:tcPr>
            <w:tcW w:w="100" w:type="dxa"/>
            <w:vAlign w:val="bottom"/>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Charlotte Nangolo</w:t>
            </w:r>
          </w:p>
        </w:tc>
        <w:tc>
          <w:tcPr>
            <w:tcW w:w="17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39,816,740</w:t>
            </w:r>
          </w:p>
        </w:tc>
        <w:tc>
          <w:tcPr>
            <w:tcW w:w="360" w:type="dxa"/>
            <w:vAlign w:val="bottom"/>
          </w:tcPr>
          <w:p>
            <w:pPr>
              <w:spacing w:after="0"/>
              <w:rPr>
                <w:sz w:val="18"/>
                <w:szCs w:val="18"/>
                <w:color w:val="auto"/>
              </w:rPr>
            </w:pPr>
          </w:p>
        </w:tc>
        <w:tc>
          <w:tcPr>
            <w:tcW w:w="17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70,284</w:t>
            </w:r>
          </w:p>
        </w:tc>
        <w:tc>
          <w:tcPr>
            <w:tcW w:w="320" w:type="dxa"/>
            <w:vAlign w:val="bottom"/>
          </w:tcPr>
          <w:p>
            <w:pPr>
              <w:spacing w:after="0"/>
              <w:rPr>
                <w:sz w:val="18"/>
                <w:szCs w:val="18"/>
                <w:color w:val="auto"/>
              </w:rPr>
            </w:pPr>
          </w:p>
        </w:tc>
        <w:tc>
          <w:tcPr>
            <w:tcW w:w="16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350,847</w:t>
            </w:r>
          </w:p>
        </w:tc>
        <w:tc>
          <w:tcPr>
            <w:tcW w:w="320" w:type="dxa"/>
            <w:vAlign w:val="bottom"/>
          </w:tcPr>
          <w:p>
            <w:pPr>
              <w:spacing w:after="0"/>
              <w:rPr>
                <w:sz w:val="18"/>
                <w:szCs w:val="18"/>
                <w:color w:val="auto"/>
              </w:rPr>
            </w:pPr>
          </w:p>
        </w:tc>
        <w:tc>
          <w:tcPr>
            <w:tcW w:w="16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6,457,054</w:t>
            </w: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Rankin</w:t>
            </w:r>
          </w:p>
        </w:tc>
        <w:tc>
          <w:tcPr>
            <w:tcW w:w="17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39,839,073</w:t>
            </w:r>
          </w:p>
        </w:tc>
        <w:tc>
          <w:tcPr>
            <w:tcW w:w="36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47,842</w:t>
            </w: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350,956</w:t>
            </w: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6,457,054</w:t>
            </w:r>
          </w:p>
        </w:tc>
        <w:tc>
          <w:tcPr>
            <w:tcW w:w="100" w:type="dxa"/>
            <w:vAlign w:val="bottom"/>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Michael Earl Cornett Sr.</w:t>
            </w:r>
          </w:p>
        </w:tc>
        <w:tc>
          <w:tcPr>
            <w:tcW w:w="17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39,839,451</w:t>
            </w:r>
          </w:p>
        </w:tc>
        <w:tc>
          <w:tcPr>
            <w:tcW w:w="360" w:type="dxa"/>
            <w:vAlign w:val="bottom"/>
          </w:tcPr>
          <w:p>
            <w:pPr>
              <w:spacing w:after="0"/>
              <w:rPr>
                <w:sz w:val="18"/>
                <w:szCs w:val="18"/>
                <w:color w:val="auto"/>
              </w:rPr>
            </w:pPr>
          </w:p>
        </w:tc>
        <w:tc>
          <w:tcPr>
            <w:tcW w:w="17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47,646</w:t>
            </w:r>
          </w:p>
        </w:tc>
        <w:tc>
          <w:tcPr>
            <w:tcW w:w="320" w:type="dxa"/>
            <w:vAlign w:val="bottom"/>
          </w:tcPr>
          <w:p>
            <w:pPr>
              <w:spacing w:after="0"/>
              <w:rPr>
                <w:sz w:val="18"/>
                <w:szCs w:val="18"/>
                <w:color w:val="auto"/>
              </w:rPr>
            </w:pPr>
          </w:p>
        </w:tc>
        <w:tc>
          <w:tcPr>
            <w:tcW w:w="16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350,956</w:t>
            </w:r>
          </w:p>
        </w:tc>
        <w:tc>
          <w:tcPr>
            <w:tcW w:w="320" w:type="dxa"/>
            <w:vAlign w:val="bottom"/>
          </w:tcPr>
          <w:p>
            <w:pPr>
              <w:spacing w:after="0"/>
              <w:rPr>
                <w:sz w:val="18"/>
                <w:szCs w:val="18"/>
                <w:color w:val="auto"/>
              </w:rPr>
            </w:pPr>
          </w:p>
        </w:tc>
        <w:tc>
          <w:tcPr>
            <w:tcW w:w="16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6,457,054</w:t>
            </w: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Sudhindra Kankanwadi</w:t>
            </w:r>
          </w:p>
        </w:tc>
        <w:tc>
          <w:tcPr>
            <w:tcW w:w="17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39,817,758</w:t>
            </w:r>
          </w:p>
        </w:tc>
        <w:tc>
          <w:tcPr>
            <w:tcW w:w="36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69,207</w:t>
            </w: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350,906</w:t>
            </w: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6,457,054</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2: Ratification of the Appointment of Independent Registered Public Accounting Firm</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appointment of KNAV CPA LLP as the Company’s independent registered public accounting firm for the fiscal year ending December 31, 2025 was ratified by the stockholders, with votes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62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78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334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0"/>
        </w:trPr>
        <w:tc>
          <w:tcPr>
            <w:tcW w:w="2160" w:type="dxa"/>
            <w:vAlign w:val="bottom"/>
            <w:tcBorders>
              <w:top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46,123,756</w:t>
            </w:r>
          </w:p>
        </w:tc>
        <w:tc>
          <w:tcPr>
            <w:tcW w:w="34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206,127</w:t>
            </w:r>
          </w:p>
        </w:tc>
        <w:tc>
          <w:tcPr>
            <w:tcW w:w="34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365,042</w:t>
            </w:r>
          </w:p>
        </w:tc>
        <w:tc>
          <w:tcPr>
            <w:tcW w:w="340" w:type="dxa"/>
            <w:vAlign w:val="bottom"/>
            <w:tcBorders>
              <w:top w:val="single" w:sz="8" w:color="CCEEFF"/>
            </w:tcBorders>
            <w:shd w:val="clear" w:color="auto" w:fill="CCEEFF"/>
          </w:tcPr>
          <w:p>
            <w:pPr>
              <w:spacing w:after="0"/>
              <w:rPr>
                <w:sz w:val="18"/>
                <w:szCs w:val="18"/>
                <w:color w:val="auto"/>
              </w:rPr>
            </w:pPr>
          </w:p>
        </w:tc>
        <w:tc>
          <w:tcPr>
            <w:tcW w:w="3240" w:type="dxa"/>
            <w:vAlign w:val="bottom"/>
            <w:tcBorders>
              <w:top w:val="single" w:sz="8" w:color="auto"/>
            </w:tcBorders>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3: Reverse Stock Split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stockholders approved an amendment to the Company’s Certificate of Incorporation to effect a reverse stock split of the Company’s Common Stock, at a ratio in the range of 1 for 10 to 1 for 100, with the exact ratio to be determined in the discretion of the Board and with such reverse stock split to be effected at such time and date, if at all, as determined by the Board in its sole discretion, with votes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62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78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334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0"/>
        </w:trPr>
        <w:tc>
          <w:tcPr>
            <w:tcW w:w="2160" w:type="dxa"/>
            <w:vAlign w:val="bottom"/>
            <w:tcBorders>
              <w:top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45,825,205</w:t>
            </w:r>
          </w:p>
        </w:tc>
        <w:tc>
          <w:tcPr>
            <w:tcW w:w="34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508,447</w:t>
            </w:r>
          </w:p>
        </w:tc>
        <w:tc>
          <w:tcPr>
            <w:tcW w:w="34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361,273</w:t>
            </w:r>
          </w:p>
        </w:tc>
        <w:tc>
          <w:tcPr>
            <w:tcW w:w="340" w:type="dxa"/>
            <w:vAlign w:val="bottom"/>
            <w:tcBorders>
              <w:top w:val="single" w:sz="8" w:color="CCEEFF"/>
            </w:tcBorders>
            <w:shd w:val="clear" w:color="auto" w:fill="CCEEFF"/>
          </w:tcPr>
          <w:p>
            <w:pPr>
              <w:spacing w:after="0"/>
              <w:rPr>
                <w:sz w:val="18"/>
                <w:szCs w:val="18"/>
                <w:color w:val="auto"/>
              </w:rPr>
            </w:pPr>
          </w:p>
        </w:tc>
        <w:tc>
          <w:tcPr>
            <w:tcW w:w="3240" w:type="dxa"/>
            <w:vAlign w:val="bottom"/>
            <w:tcBorders>
              <w:top w:val="single" w:sz="8" w:color="auto"/>
            </w:tcBorders>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4: Approval of Issuance of Common Stock upon Exercise of Certain Warrants in Accordance with the Nasdaq Listing Rule 5635(d)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stockholders approved the issuance of up to an aggregate of 9,584,000 shares of the Company’s Common Stock issuable upon the exercise of certain warrants to purchase the Company’s Common Stock, in accordance with Nasdaq Listing Rule 5635(d), with votes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62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78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334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09"/>
        </w:trPr>
        <w:tc>
          <w:tcPr>
            <w:tcW w:w="2160" w:type="dxa"/>
            <w:vAlign w:val="bottom"/>
            <w:tcBorders>
              <w:top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39,765,068</w:t>
            </w:r>
          </w:p>
        </w:tc>
        <w:tc>
          <w:tcPr>
            <w:tcW w:w="34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129,658</w:t>
            </w:r>
          </w:p>
        </w:tc>
        <w:tc>
          <w:tcPr>
            <w:tcW w:w="34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343,145</w:t>
            </w:r>
          </w:p>
        </w:tc>
        <w:tc>
          <w:tcPr>
            <w:tcW w:w="340" w:type="dxa"/>
            <w:vAlign w:val="bottom"/>
            <w:tcBorders>
              <w:top w:val="single" w:sz="8" w:color="CCEEFF"/>
            </w:tcBorders>
            <w:shd w:val="clear" w:color="auto" w:fill="CCEEFF"/>
          </w:tcPr>
          <w:p>
            <w:pPr>
              <w:spacing w:after="0"/>
              <w:rPr>
                <w:sz w:val="18"/>
                <w:szCs w:val="18"/>
                <w:color w:val="auto"/>
              </w:rPr>
            </w:pPr>
          </w:p>
        </w:tc>
        <w:tc>
          <w:tcPr>
            <w:tcW w:w="3240" w:type="dxa"/>
            <w:vAlign w:val="bottom"/>
            <w:tcBorders>
              <w:top w:val="single" w:sz="8" w:color="auto"/>
            </w:tcBorders>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6,457,054</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2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STARDUST POWER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Roshan Pujari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Roshan Pujari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20"/>
      </w:cols>
      <w:pgMar w:left="320" w:top="68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2025-06-11T05:19:04Z</dcterms:created>
  <dcterms:modified xsi:type="dcterms:W3CDTF">2025-06-11T05:19:04Z</dcterms:modified>
</cp:coreProperties>
</file>