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Stardust 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Pablo Cortegoso</w:t>
              <w:br/>
              <w:t>15 E Putnam Ave,, Suite 378,</w:t>
              <w:br/>
              <w:t>Greenwich, CT, 06830</w:t>
              <w:br/>
              <w:t>800-742-3095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Pablo Cortegoso</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459,537.00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459,537.00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459,537.00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0.86 %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 of class is calculated based on 53,468,409 shares of Common Stock outstanding as of October 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4"/>
        <w:gridCol w:w="8895"/>
        <w:gridCol w:w="156"/>
      </w:tblGrid>
      <w:tr>
        <w:trPr/>
        <w:tc>
          <w:tcPr>
            <w:tcW w:w="1154"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Stardust Power Inc.</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E. PUTNAM AVE, SUITE 378, GREENWICH, CONNECTICUT , 06830.</w:t>
            </w:r>
          </w:p>
        </w:tc>
        <w:tc>
          <w:tcPr>
            <w:tcW w:w="156"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(this "Statement") amends and supplements the Schedule 13D, originally filed on July 15, 2024, as amended by Amendment No. 1 filed on June 23, 2025 and Amendment No. 2 filed on April 3, 2026 (as amended, the "Schedule 13D"), relating to the Common Stock of the Issuer. This Amendment No. 3 is being filed to report that the Reporting Person has ceased to be the beneficial owner of more than five percent of the outstanding shares of Common Stock, and constitutes the final amendment to the Schedule 13D. Item 5 of the Schedule 13D is hereby amended and supplemented as set forth below. Except as set forth herein, the Schedule 13D remains in full force and effect. Each capitalized term used but not defined herein has the meaning ascribed to such term in the Schedule 13D.</w:t>
            </w:r>
          </w:p>
        </w:tc>
      </w:tr>
      <w:tr>
        <w:trPr/>
        <w:tc>
          <w:tcPr>
            <w:tcW w:w="1154"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The information set forth in rows 11 and 13 of the cover page to this Statement is incorporated by reference into this Item 5(a).</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The information set forth in rows 7 through 10 of the cover page to this Statement is incorporated by reference into this Item 5(b).</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On September 16, 2026, the Reporting Person sold 123,614 shares of Common Stock in open market transactions at a weighted average price of $0.1318 per share pursuant to a Rule 10b5-1 trading plan adopted by the Reporting Person on June 17, 2026. The shares were sold in multiple transactions at prices ranging from $0.1300 to $0.1364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above. Except as described above, the Reporting Person has not effected any transactions in the Common Stock in the past 60 days.</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shares of Common Stock.</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The Reporting Person ceased to be the beneficial owner of more than five percent of the Company's shares of Common Stock on.</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Pablo Cortegoso</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Pablo Cortegoso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Pablo Cortegoso / Chief Technical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802</Words>
  <Characters>3981</Characters>
  <CharactersWithSpaces>4737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