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22,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525"/>
        <w:gridCol w:w="60"/>
        <w:gridCol w:w="1895"/>
      </w:tblGrid>
      <w:tr>
        <w:trPr/>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99-3863616</w:t>
            </w:r>
          </w:p>
        </w:tc>
      </w:tr>
      <w:tr>
        <w:trPr/>
        <w:tc>
          <w:tcPr>
            <w:tcW w:w="25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Amended and Restated 2024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E. Putnam Ave, Suite 378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Greenwich, CT 06830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Roshan Pujari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E. Putnam Ave, Suite 378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Greenwich, CT 06830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Faith L. Charles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Thompson Hine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Madison Avenue, 27th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10017-6232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344-5680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(212) 344-6101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at the 2026 Annual Meeting of Shareholders of Stardust Power Inc. (the “Registrant”), the Registrant’s shareholders approved the Stardust Power Inc. Amended and Restated 2024 Equity Incentive Plan (the “Plan”), which amended and restated the Stardust Power Inc. 2024 Equity Incentive Plan to, among other things, increase the number of shares of the Registrant’s common stock, par value $0.0001 per share (the “Common Stock”), available for issuance under the Plan by 2,600,000 shares of Common Stock. The Registrant is filing this Registration Statement on Form S-8 (this “Registration Statement”) for the purpose of registering under the Securities Act of 1933, as amended (the “Securities Act”), such additional 2,600,000 shares of Common Stock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additional shares of Common Stock registered by this Registration Statement are of the same class as those securities registered on the Registration Statements on Form S-8 filed by the Registrant with the Securities and Exchange Commission (the “Commission”) on </w:t>
      </w:r>
      <w:hyperlink r:id="rId2">
        <w:r>
          <w:rPr>
            <w:rStyle w:val="InternetLink"/>
            <w:rFonts w:ascii="Times New Roman;Times;Serif" w:hAnsi="Times New Roman;Times;Serif"/>
            <w:b w:val="false"/>
            <w:i w:val="false"/>
            <w:caps w:val="false"/>
            <w:smallCaps w:val="false"/>
            <w:sz w:val="20"/>
          </w:rPr>
          <w:t>September 18, 2024</w:t>
        </w:r>
      </w:hyperlink>
      <w:r>
        <w:rPr>
          <w:rFonts w:ascii="Times New Roman;Times;Serif" w:hAnsi="Times New Roman;Times;Serif"/>
          <w:b w:val="false"/>
          <w:i w:val="false"/>
          <w:caps w:val="false"/>
          <w:smallCaps w:val="false"/>
          <w:sz w:val="20"/>
        </w:rPr>
        <w:t xml:space="preserve"> (Registration No. 333-282189) and on </w:t>
      </w:r>
      <w:hyperlink r:id="rId3">
        <w:r>
          <w:rPr>
            <w:rStyle w:val="InternetLink"/>
            <w:rFonts w:ascii="Times New Roman;Times;Serif" w:hAnsi="Times New Roman;Times;Serif"/>
            <w:b w:val="false"/>
            <w:i w:val="false"/>
            <w:caps w:val="false"/>
            <w:smallCaps w:val="false"/>
            <w:sz w:val="20"/>
          </w:rPr>
          <w:t>March 13, 2026</w:t>
        </w:r>
      </w:hyperlink>
      <w:r>
        <w:rPr>
          <w:rFonts w:ascii="Times New Roman;Times;Serif" w:hAnsi="Times New Roman;Times;Serif"/>
          <w:b w:val="false"/>
          <w:i w:val="false"/>
          <w:caps w:val="false"/>
          <w:smallCaps w:val="false"/>
          <w:sz w:val="20"/>
        </w:rPr>
        <w:t xml:space="preserve"> (Registration No. 333-294292) (collectively, the “Prior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to Form S-8, the contents of the Prior Registration Statements, including all exhibits filed therewith or incorporated therein by reference, are incorporated by reference into this Registration Statement, except as expressly modified herein.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of the U.S. Securities and Exchange Commission (the “Commission”), this Registration Statement omits the information specified in Part I of Form S-8.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of Form S-8 (Item 1, Plan Information, and Item 2, Registrant Information and Employee Plan Annual Information) will be sent or given to participants in the Plan as specified by Rule 428(b)(1) under the Securities Act.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documents filed by the Registrant with the Commission are incorporated by reference into this Registration Statement: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Commission on March 25,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Quarterly Reports on Form 10-Q for the periods ended March 31, 2026 and June 30, 2026, filed with the Commission on </w:t>
            </w:r>
            <w:hyperlink r:id="rId5">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August 13, 2026</w:t>
              </w:r>
            </w:hyperlink>
            <w:r>
              <w:rPr>
                <w:rFonts w:ascii="Times New Roman;Times;Serif" w:hAnsi="Times New Roman;Times;Serif"/>
                <w:b w:val="false"/>
                <w:i w:val="false"/>
                <w:caps w:val="false"/>
                <w:smallCaps w:val="false"/>
                <w:sz w:val="20"/>
              </w:rPr>
              <w:t>,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Current Reports on Form 8-K (other than any portions thereof deemed furnished and not filed), filed with the Commission on </w:t>
            </w:r>
            <w:hyperlink r:id="rId7">
              <w:r>
                <w:rPr>
                  <w:rStyle w:val="InternetLink"/>
                  <w:rFonts w:ascii="Times New Roman;Times;Serif" w:hAnsi="Times New Roman;Times;Serif"/>
                  <w:b w:val="false"/>
                  <w:i w:val="false"/>
                  <w:caps w:val="false"/>
                  <w:smallCaps w:val="false"/>
                  <w:sz w:val="20"/>
                </w:rPr>
                <w:t>January 20,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30,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18,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April 20,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May 8,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3,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August 11,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 xml:space="preserve">August 21, 2026, </w:t>
              </w:r>
            </w:hyperlink>
            <w:hyperlink r:id="rId19">
              <w:r>
                <w:rPr>
                  <w:rStyle w:val="InternetLink"/>
                  <w:rFonts w:ascii="Times New Roman;Times;Serif" w:hAnsi="Times New Roman;Times;Serif"/>
                  <w:b w:val="false"/>
                  <w:i w:val="false"/>
                  <w:caps w:val="false"/>
                  <w:smallCaps w:val="false"/>
                  <w:sz w:val="20"/>
                </w:rPr>
                <w:t>September 17,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September 18, 2026</w:t>
              </w:r>
            </w:hyperlink>
            <w:r>
              <w:rPr>
                <w:rFonts w:ascii="Times New Roman;Times;Serif" w:hAnsi="Times New Roman;Times;Serif"/>
                <w:b w:val="false"/>
                <w:i w:val="false"/>
                <w:caps w:val="false"/>
                <w:smallCaps w:val="false"/>
                <w:sz w:val="20"/>
              </w:rPr>
              <w:t xml:space="preserve">, and </w:t>
            </w:r>
            <w:hyperlink r:id="rId21">
              <w:r>
                <w:rPr>
                  <w:rStyle w:val="InternetLink"/>
                  <w:rFonts w:ascii="Times New Roman;Times;Serif" w:hAnsi="Times New Roman;Times;Serif"/>
                  <w:b w:val="false"/>
                  <w:i w:val="false"/>
                  <w:caps w:val="false"/>
                  <w:smallCaps w:val="false"/>
                  <w:sz w:val="20"/>
                </w:rPr>
                <w:t>September 22,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definitive proxy statement on </w:t>
            </w:r>
            <w:hyperlink r:id="rId22">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as filed with the Commission on April 21,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securities filed as </w:t>
            </w:r>
            <w:hyperlink r:id="rId23">
              <w:r>
                <w:rPr>
                  <w:rStyle w:val="InternetLink"/>
                  <w:rFonts w:ascii="Times New Roman;Times;Serif" w:hAnsi="Times New Roman;Times;Serif"/>
                  <w:b w:val="false"/>
                  <w:i w:val="false"/>
                  <w:caps w:val="false"/>
                  <w:smallCaps w:val="false"/>
                  <w:sz w:val="20"/>
                </w:rPr>
                <w:t>Exhibit 4.11</w:t>
              </w:r>
            </w:hyperlink>
            <w:r>
              <w:rPr>
                <w:rFonts w:ascii="Times New Roman;Times;Serif" w:hAnsi="Times New Roman;Times;Serif"/>
                <w:b w:val="false"/>
                <w:i w:val="false"/>
                <w:caps w:val="false"/>
                <w:smallCaps w:val="false"/>
                <w:sz w:val="20"/>
              </w:rPr>
              <w:t xml:space="preserve"> to the Registrant’s Annual Report on Form 10-K, filed with the Commission on March 25, 2026, as well as any additional amendments or reports filed for the purpose of updating such description.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and documents subsequently filed by the Registrant pursuant to Sections 13(a), 13(c), 14 and 15(d) of the Securities Exchange Act of 1934, as amended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3"/>
        <w:gridCol w:w="60"/>
        <w:gridCol w:w="9162"/>
      </w:tblGrid>
      <w:tr>
        <w:trPr/>
        <w:tc>
          <w:tcPr>
            <w:tcW w:w="98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Incorporation of Global Partner Acquisition Corp II (incorporated by reference to Exhibit 3.1 to Stardust Power Inc.’s Current Report on Form 8-K, filed with the SEC on July 12, 2024).</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Certificate of Amendment to the Certificate of Incorporation, filed with the Secretary of State of the State of Delaware on July 8, 2024 (incorporated by reference to Exhibit 3.2 to the Registrant’s Annual Report on Form 10-K filed with the Commission on March 25, 2026).</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Certificate of Amendment to the Certificate of Incorporation (incorporated by reference to Exhibit 3.1 to Stardust Power Inc.’s Current Report on Form 8-K filed with the SEC on September 4, 2025).</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Bylaws of Global Partner Acquisition Corp II (incorporated by reference to Exhibit 3.2 to Stardust Power Inc.’s Current Report on Form 8-K, filed with the SEC on July 12, 2024).</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Thompson Hine LLP.</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KNAV CPA LLP</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Thompson Hine LLP (included in Exhibit 5.1).</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(contained on the signature page of this Registration Statement on Form S-8).</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Stardust Power Inc. Amended and Restated 2024 Equity Incentive Plan (incorporated by reference to Exhibit 10.1 to Stardust Power Inc.’s Current Report on Form 8-K, filed with the SEC on June 3, 2026).</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Restricted Stock Unit Agreement under the Amended and Restated 2024 Equity Incentive Plan (incorporated by reference to Exhibit 10.4 to Stardust Power Inc.’s Quarterly Report on Form 10-Q, filed with the SEC on May 14, 2026).</w:t>
              </w:r>
            </w:hyperlink>
          </w:p>
        </w:tc>
      </w:tr>
      <w:tr>
        <w:trPr/>
        <w:tc>
          <w:tcPr>
            <w:tcW w:w="98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2"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Greenwich, State of Connecticut on September 22, 2026.</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Roshan Pujari, Udaychandra Devasper and Bruce Czachor, and each of them, as his or her true and lawful attorney-in-fact and agent with the full power of substitution, for him or her in any and all capacities, to sign any and all amendments to this Registration Statement (and any additional registration statement related hereto permitted by Rule 462(b) promulgated under the Securities Act), including any and all pre-effective and post-effective amendments and to file such amendments thereto, with exhibits thereto and other documents in connection therewith, with the SEC,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each of said attorneys-in-fact and agents, or his or her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9150" w:type="dxa"/>
        <w:jc w:val="left"/>
        <w:tblInd w:w="0" w:type="dxa"/>
        <w:tblLayout w:type="fixed"/>
        <w:tblCellMar>
          <w:top w:w="0" w:type="dxa"/>
          <w:left w:w="0" w:type="dxa"/>
          <w:bottom w:w="28" w:type="dxa"/>
          <w:right w:w="0" w:type="dxa"/>
        </w:tblCellMar>
      </w:tblPr>
      <w:tblGrid>
        <w:gridCol w:w="2300"/>
        <w:gridCol w:w="60"/>
        <w:gridCol w:w="5075"/>
        <w:gridCol w:w="60"/>
        <w:gridCol w:w="1655"/>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Udaychandra Devasper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Udaychandra Devasper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Sudhindra Kankanwadi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Sudhindra Kankanwadi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V. Ray Rivers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Ray Rivers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Earl Cornett Sr.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Earl Cornett Sr.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Anupam Agarwal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Anupam Agarwal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Rankin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tc>
      </w:tr>
      <w:tr>
        <w:trPr/>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Rankin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6858000"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 Putnam Ave., Suite 378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filing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for the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an additional 2,600,000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common stock, $0.0001 par value,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are issuable at any time or from time to time under the Company’s Amended and Restated 2024 Equity Incentive Plan (as amended to date,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601(b)(5) of Regulation S-K and the instructions to Form S-8 require that an opinion of counsel as to the legality of the securities being registered be filed as an exhibit to a registration statement on Form S-8. This opinion letter is provided in satisfaction of that requirement as it relates to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below, we have examined (i) the Plan; (ii) the Registration Statement; (iii) the Certificate of Incorporation and the Bylaws of the Company, each as amended and in effect as of the date hereof; (iv) the resolutions of the Board of Directors of the Company adopted on April 8, 2026 approving the Plan and reserving the Shares for issuance thereunder (collectively, the “</w:t>
      </w:r>
      <w:r>
        <w:rPr>
          <w:rFonts w:ascii="Times New Roman;Times;Serif" w:hAnsi="Times New Roman;Times;Serif"/>
          <w:b/>
          <w:i/>
          <w:caps w:val="false"/>
          <w:smallCaps w:val="false"/>
          <w:sz w:val="20"/>
        </w:rPr>
        <w:t>Authorizing Resolutions</w:t>
      </w:r>
      <w:r>
        <w:rPr>
          <w:rFonts w:ascii="Times New Roman;Times;Serif" w:hAnsi="Times New Roman;Times;Serif"/>
          <w:b w:val="false"/>
          <w:i w:val="false"/>
          <w:caps w:val="false"/>
          <w:smallCaps w:val="false"/>
          <w:sz w:val="20"/>
        </w:rPr>
        <w:t>”); and (v) such other records, instruments, and documents as we have deemed advisable in order to render this opinion letter. In such examination, we have assumed (a) the genuineness of all signatures, (b) the legal capacity of all natural persons, (c) the authenticity of all documents, certificates, and instruments submitted to us as originals, (d) the conformity to original documents of all documents, certificates, and instruments submitted to us as certified, conformed, or photostatic copies, and (e) the authenticity of the originals of such latter documents. Our opinion set forth below is based on the text of the Plan as referenced in the Exhibit Index to the Registration Statement and is limited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as currently in effect, and we express no opinion as to the effect on the matters covered by this letter of the laws of any other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qualifications, and assumptions set forth herein, we are of the opinion that the Shares have been duly authorized and, when issued and delivered pursuant to and in accordance with the terms of the Plan and the applicable award agreement, and upon receipt by the Company of the consideration therefor as contemplated by the Plan, the applicable award agreement and the Authorizing Resolutions, will be validly issued,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above, we have assumed that (a) the Company will have sufficient authorized and unissued shares of Common Stock at the time of each issuance of any of the Shares under the Plan; (b) the Shares issued pursuant to the Plan will be evidenced by appropriate certificates, duly executed and delivered, or the Company’s Board of Directors has adopted or will adopt a resolution providing that all of the Shares shall be uncertificated in accordance with Section 158 of the DGCL prior to their issuance; (c) the issuance of each Share issued pursuant to the Plan will be duly noted in the Company’s stock ledger upon its issuance; (d) the Company will receive consideration for each Share at least equal to the par value thereof and in the amount and form required by the Plan, the applicable award agreement and the Authorizing Resolutions; (e) the Authorizing Resolutions will be in full force and effect at all times at which the Shares are issued by the Company, and that the Company will take no action inconsistent with such Authorizing Resolutions; and (f) each award under the Plan will be approved by the Board of Directors of the Company or an authorized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6858000" cy="609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6858000" cy="628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We expressly disclaim any responsibility to advise you of any development or circumstance of any kind, including any change of law or fact that may occur after the date of this opinion letter that might affect the opinion expressed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75"/>
        <w:gridCol w:w="1925"/>
      </w:tblGrid>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Thompson Hine LLP</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Thompson Hine LLP</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Stardust Power Inc. and subsidiaries, of our report dated March 25, 2026, which includes an explanatory paragraph relating to Stardust Power Inc. and its subsidiaries’ ability to continue as a going concern, on our audit of the consolidated financial statements of Stardust Power Inc. and subsidiaries as of the years ended December 31, 2025, and December 31, 2024, included in the Annual Report on Form 10-K of Stardust Power Inc. for the year ended December 31, 2025, filed with the Securities and Exchange Commission on March 25, 2026.</w:t>
      </w:r>
    </w:p>
    <w:p>
      <w:pPr>
        <w:pStyle w:val="TextBody"/>
        <w:bidi w:val="0"/>
        <w:spacing w:before="0" w:after="0"/>
        <w:ind w:left="0" w:right="0" w:hanging="0"/>
        <w:jc w:val="both"/>
        <w:rPr>
          <w:caps w:val="false"/>
          <w:smallCaps w:val="false"/>
        </w:rPr>
      </w:pPr>
      <w:r>
        <w:rPr>
          <w:caps w:val="false"/>
          <w:smallCaps w:val="false"/>
        </w:rPr>
        <w:t> </w:t>
      </w:r>
    </w:p>
    <w:tbl>
      <w:tblPr>
        <w:tblW w:w="1730" w:type="dxa"/>
        <w:jc w:val="left"/>
        <w:tblInd w:w="0" w:type="dxa"/>
        <w:tblLayout w:type="fixed"/>
        <w:tblCellMar>
          <w:top w:w="0" w:type="dxa"/>
          <w:left w:w="0" w:type="dxa"/>
          <w:bottom w:w="28" w:type="dxa"/>
          <w:right w:w="0" w:type="dxa"/>
        </w:tblCellMar>
      </w:tblPr>
      <w:tblGrid>
        <w:gridCol w:w="1655"/>
        <w:gridCol w:w="75"/>
      </w:tblGrid>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KNAV CPA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KNAV CPA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Atlanta, Georgia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107.htm"/>
      <w:bookmarkStart w:id="8" w:name="ksex107"/>
      <w:bookmarkStart w:id="9" w:name="ex107.htm"/>
      <w:bookmarkStart w:id="10" w:name="ksex107"/>
      <w:bookmarkEnd w:id="9"/>
      <w:bookmarkEnd w:id="10"/>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Stardust Power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3"/>
        <w:gridCol w:w="970"/>
        <w:gridCol w:w="1118"/>
        <w:gridCol w:w="1314"/>
        <w:gridCol w:w="1222"/>
        <w:gridCol w:w="1289"/>
        <w:gridCol w:w="1459"/>
        <w:gridCol w:w="1128"/>
        <w:gridCol w:w="1462"/>
      </w:tblGrid>
      <w:tr>
        <w:trPr/>
        <w:tc>
          <w:tcPr>
            <w:tcW w:w="243" w:type="dxa"/>
            <w:tcBorders/>
            <w:shd w:fill="9ADAF6" w:val="clear"/>
            <w:vAlign w:val="center"/>
          </w:tcPr>
          <w:p>
            <w:pPr>
              <w:pStyle w:val="TableHeading"/>
              <w:bidi w:val="0"/>
              <w:spacing w:before="0" w:after="283"/>
              <w:rPr>
                <w:sz w:val="4"/>
                <w:szCs w:val="4"/>
              </w:rPr>
            </w:pPr>
            <w:r>
              <w:rPr>
                <w:sz w:val="4"/>
                <w:szCs w:val="4"/>
              </w:rPr>
            </w:r>
          </w:p>
        </w:tc>
        <w:tc>
          <w:tcPr>
            <w:tcW w:w="97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1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1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8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5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8"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6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3" w:type="dxa"/>
            <w:tcBorders/>
            <w:shd w:fill="E7E7E2" w:val="clear"/>
            <w:vAlign w:val="center"/>
          </w:tcPr>
          <w:p>
            <w:pPr>
              <w:pStyle w:val="TableContents"/>
              <w:bidi w:val="0"/>
              <w:spacing w:before="0" w:after="283"/>
              <w:jc w:val="center"/>
              <w:rPr/>
            </w:pPr>
            <w:r>
              <w:rPr/>
              <w:t xml:space="preserve">1 </w:t>
            </w:r>
          </w:p>
        </w:tc>
        <w:tc>
          <w:tcPr>
            <w:tcW w:w="970" w:type="dxa"/>
            <w:tcBorders/>
            <w:shd w:fill="E7E7E2" w:val="clear"/>
            <w:vAlign w:val="center"/>
          </w:tcPr>
          <w:p>
            <w:pPr>
              <w:pStyle w:val="TableContents"/>
              <w:bidi w:val="0"/>
              <w:spacing w:before="0" w:after="283"/>
              <w:jc w:val="left"/>
              <w:rPr/>
            </w:pPr>
            <w:r>
              <w:rPr/>
              <w:t xml:space="preserve">Equity </w:t>
            </w:r>
          </w:p>
        </w:tc>
        <w:tc>
          <w:tcPr>
            <w:tcW w:w="1118" w:type="dxa"/>
            <w:tcBorders/>
            <w:shd w:fill="E7E7E2" w:val="clear"/>
            <w:vAlign w:val="center"/>
          </w:tcPr>
          <w:p>
            <w:pPr>
              <w:pStyle w:val="TableContents"/>
              <w:bidi w:val="0"/>
              <w:spacing w:before="0" w:after="283"/>
              <w:jc w:val="left"/>
              <w:rPr/>
            </w:pPr>
            <w:r>
              <w:rPr/>
              <w:t xml:space="preserve">Common stock, par value $0.0001 per share </w:t>
            </w:r>
          </w:p>
        </w:tc>
        <w:tc>
          <w:tcPr>
            <w:tcW w:w="1314" w:type="dxa"/>
            <w:tcBorders/>
            <w:shd w:fill="E7E7E2" w:val="clear"/>
            <w:vAlign w:val="center"/>
          </w:tcPr>
          <w:p>
            <w:pPr>
              <w:pStyle w:val="TableContents"/>
              <w:bidi w:val="0"/>
              <w:spacing w:before="0" w:after="283"/>
              <w:jc w:val="center"/>
              <w:rPr/>
            </w:pPr>
            <w:r>
              <w:rPr/>
              <w:t xml:space="preserve">457(a) </w:t>
            </w:r>
          </w:p>
        </w:tc>
        <w:tc>
          <w:tcPr>
            <w:tcW w:w="1222" w:type="dxa"/>
            <w:tcBorders/>
            <w:shd w:fill="E7E7E2" w:val="clear"/>
            <w:vAlign w:val="center"/>
          </w:tcPr>
          <w:p>
            <w:pPr>
              <w:pStyle w:val="TableContents"/>
              <w:bidi w:val="0"/>
              <w:spacing w:before="0" w:after="283"/>
              <w:jc w:val="right"/>
              <w:rPr/>
            </w:pPr>
            <w:r>
              <w:rPr/>
              <w:t xml:space="preserve">2,600,000 </w:t>
            </w:r>
          </w:p>
        </w:tc>
        <w:tc>
          <w:tcPr>
            <w:tcW w:w="1289" w:type="dxa"/>
            <w:tcBorders/>
            <w:shd w:fill="E7E7E2" w:val="clear"/>
            <w:vAlign w:val="center"/>
          </w:tcPr>
          <w:p>
            <w:pPr>
              <w:pStyle w:val="TableContents"/>
              <w:bidi w:val="0"/>
              <w:spacing w:before="0" w:after="283"/>
              <w:jc w:val="right"/>
              <w:rPr/>
            </w:pPr>
            <w:r>
              <w:rPr/>
              <w:t xml:space="preserve">$ 0.14 </w:t>
            </w:r>
          </w:p>
        </w:tc>
        <w:tc>
          <w:tcPr>
            <w:tcW w:w="1459" w:type="dxa"/>
            <w:tcBorders/>
            <w:shd w:fill="E7E7E2" w:val="clear"/>
            <w:vAlign w:val="center"/>
          </w:tcPr>
          <w:p>
            <w:pPr>
              <w:pStyle w:val="TableContents"/>
              <w:bidi w:val="0"/>
              <w:spacing w:before="0" w:after="283"/>
              <w:jc w:val="right"/>
              <w:rPr/>
            </w:pPr>
            <w:r>
              <w:rPr/>
              <w:t xml:space="preserve">$ 364,000.00 </w:t>
            </w:r>
          </w:p>
        </w:tc>
        <w:tc>
          <w:tcPr>
            <w:tcW w:w="1128" w:type="dxa"/>
            <w:tcBorders/>
            <w:shd w:fill="E7E7E2" w:val="clear"/>
            <w:vAlign w:val="center"/>
          </w:tcPr>
          <w:p>
            <w:pPr>
              <w:pStyle w:val="TableContents"/>
              <w:bidi w:val="0"/>
              <w:spacing w:before="0" w:after="283"/>
              <w:jc w:val="right"/>
              <w:rPr/>
            </w:pPr>
            <w:r>
              <w:rPr/>
              <w:t xml:space="preserve">0.0001381 </w:t>
            </w:r>
          </w:p>
        </w:tc>
        <w:tc>
          <w:tcPr>
            <w:tcW w:w="1462" w:type="dxa"/>
            <w:tcBorders/>
            <w:shd w:fill="E7E7E2" w:val="clear"/>
            <w:vAlign w:val="center"/>
          </w:tcPr>
          <w:p>
            <w:pPr>
              <w:pStyle w:val="TableContents"/>
              <w:bidi w:val="0"/>
              <w:spacing w:before="0" w:after="283"/>
              <w:jc w:val="right"/>
              <w:rPr/>
            </w:pPr>
            <w:r>
              <w:rPr/>
              <w:t xml:space="preserve">$ 50.27 </w:t>
            </w:r>
          </w:p>
        </w:tc>
      </w:tr>
      <w:tr>
        <w:trPr/>
        <w:tc>
          <w:tcPr>
            <w:tcW w:w="4867" w:type="dxa"/>
            <w:gridSpan w:val="5"/>
            <w:tcBorders/>
            <w:vAlign w:val="center"/>
          </w:tcPr>
          <w:p>
            <w:pPr>
              <w:pStyle w:val="TableContents"/>
              <w:bidi w:val="0"/>
              <w:spacing w:before="0" w:after="0"/>
              <w:ind w:left="0" w:right="0" w:hanging="0"/>
              <w:jc w:val="right"/>
              <w:rPr/>
            </w:pPr>
            <w:r>
              <w:rPr/>
              <w:t>Total Offering Amounts:</w:t>
            </w:r>
          </w:p>
        </w:tc>
        <w:tc>
          <w:tcPr>
            <w:tcW w:w="128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0"/>
              <w:ind w:left="0" w:right="0" w:hanging="0"/>
              <w:jc w:val="right"/>
              <w:rPr/>
            </w:pPr>
            <w:bookmarkStart w:id="11" w:name="MaxAggtOfferingPrice"/>
            <w:bookmarkEnd w:id="11"/>
            <w:r>
              <w:rPr/>
              <w:t xml:space="preserve">$ 364,000.00 </w:t>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$ 50.27 </w:t>
            </w:r>
          </w:p>
        </w:tc>
      </w:tr>
      <w:tr>
        <w:trPr/>
        <w:tc>
          <w:tcPr>
            <w:tcW w:w="4867" w:type="dxa"/>
            <w:gridSpan w:val="5"/>
            <w:tcBorders/>
            <w:vAlign w:val="center"/>
          </w:tcPr>
          <w:p>
            <w:pPr>
              <w:pStyle w:val="TableContents"/>
              <w:bidi w:val="0"/>
              <w:spacing w:before="0" w:after="0"/>
              <w:ind w:left="0" w:right="0" w:hanging="0"/>
              <w:jc w:val="right"/>
              <w:rPr/>
            </w:pPr>
            <w:r>
              <w:rPr/>
              <w:t xml:space="preserve">Total Fee Offsets: </w:t>
            </w:r>
          </w:p>
        </w:tc>
        <w:tc>
          <w:tcPr>
            <w:tcW w:w="128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67" w:type="dxa"/>
            <w:gridSpan w:val="5"/>
            <w:tcBorders/>
            <w:vAlign w:val="center"/>
          </w:tcPr>
          <w:p>
            <w:pPr>
              <w:pStyle w:val="TableContents"/>
              <w:bidi w:val="0"/>
              <w:spacing w:before="0" w:after="0"/>
              <w:ind w:left="0" w:right="0" w:hanging="0"/>
              <w:jc w:val="right"/>
              <w:rPr/>
            </w:pPr>
            <w:r>
              <w:rPr/>
              <w:t xml:space="preserve">Net Fee Due: </w:t>
            </w:r>
          </w:p>
        </w:tc>
        <w:tc>
          <w:tcPr>
            <w:tcW w:w="128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0"/>
              <w:ind w:left="0" w:right="0" w:hanging="0"/>
              <w:jc w:val="right"/>
              <w:rPr/>
            </w:pPr>
            <w:bookmarkStart w:id="14" w:name="NetFeeAmt"/>
            <w:bookmarkEnd w:id="14"/>
            <w:r>
              <w:rPr/>
              <w:t xml:space="preserve">$ 50.27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on Form S-8 covers (i) 2,600,000 shares of the Registrant's common stock, par value $0.0001 per share (the "Common Stock") authorized to be issued under the Registrant's Amended and Restated 2024 Equity Incentive Plan (the "Plan") and (ii) pursuant to Rule 416(a) under the Securities Act of 1933, as amended (the "Securities Act"), such indeterminate number of additional shares of Common Stock as may become issuable to prevent dilution in the event of stock splits, stock dividends or similar transactions pursuant to the terms of the Plan. Estimated solely for the purpose of calculating the registration fee pursuant to Rules 457(c) and 457(h) under the Securities Act, based on the average of the high and low prices of the Common Stock as reported on The Nasdaq Capital Market on September 18, 2026, a date within five business days prior to the date of filing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79/000149315224036920/forms-8.htm" TargetMode="External"/><Relationship Id="rId3" Type="http://schemas.openxmlformats.org/officeDocument/2006/relationships/hyperlink" Target="https://www.sec.gov/Archives/edgar/data/1831979/000149315226010084/forms-8.htm" TargetMode="External"/><Relationship Id="rId4" Type="http://schemas.openxmlformats.org/officeDocument/2006/relationships/hyperlink" Target="https://www.sec.gov/Archives/edgar/data/1831979/000149315226012709/form10-k.htm" TargetMode="External"/><Relationship Id="rId5" Type="http://schemas.openxmlformats.org/officeDocument/2006/relationships/hyperlink" Target="https://www.sec.gov/Archives/edgar/data/1831979/000149315226023175/form10-q.htm" TargetMode="External"/><Relationship Id="rId6" Type="http://schemas.openxmlformats.org/officeDocument/2006/relationships/hyperlink" Target="https://www.sec.gov/Archives/edgar/data/1831979/000149315226037856/form10-q.htm" TargetMode="External"/><Relationship Id="rId7" Type="http://schemas.openxmlformats.org/officeDocument/2006/relationships/hyperlink" Target="https://www.sec.gov/Archives/edgar/data/1831979/000149315226002770/form8-k.htm" TargetMode="External"/><Relationship Id="rId8" Type="http://schemas.openxmlformats.org/officeDocument/2006/relationships/hyperlink" Target="https://www.sec.gov/Archives/edgar/data/1831979/000149315226004539/form8-k.htm" TargetMode="External"/><Relationship Id="rId9" Type="http://schemas.openxmlformats.org/officeDocument/2006/relationships/hyperlink" Target="https://www.sec.gov/Archives/edgar/data/1831979/000149315226007282/form8-k.htm" TargetMode="External"/><Relationship Id="rId10" Type="http://schemas.openxmlformats.org/officeDocument/2006/relationships/hyperlink" Target="https://www.sec.gov/Archives/edgar/data/1831979/000149315226018020/form8-k.htm" TargetMode="External"/><Relationship Id="rId11" Type="http://schemas.openxmlformats.org/officeDocument/2006/relationships/hyperlink" Target="https://www.sec.gov/Archives/edgar/data/1831979/000149315226020614/form8-k.htm" TargetMode="External"/><Relationship Id="rId12" Type="http://schemas.openxmlformats.org/officeDocument/2006/relationships/hyperlink" Target="https://www.sec.gov/Archives/edgar/data/1831979/000149315226022006/form8-k.htm" TargetMode="External"/><Relationship Id="rId13" Type="http://schemas.openxmlformats.org/officeDocument/2006/relationships/hyperlink" Target="https://www.sec.gov/Archives/edgar/data/1831979/000149315226027112/form8-k.htm" TargetMode="External"/><Relationship Id="rId14" Type="http://schemas.openxmlformats.org/officeDocument/2006/relationships/hyperlink" Target="https://www.sec.gov/Archives/edgar/data/1831979/000149315226031947/form8-k.htm" TargetMode="External"/><Relationship Id="rId15" Type="http://schemas.openxmlformats.org/officeDocument/2006/relationships/hyperlink" Target="https://www.sec.gov/Archives/edgar/data/1831979/000149315226034563/form8-k.htm" TargetMode="External"/><Relationship Id="rId16" Type="http://schemas.openxmlformats.org/officeDocument/2006/relationships/hyperlink" Target="https://www.sec.gov/Archives/edgar/data/1831979/000149315226036102/form8-k.htm" TargetMode="External"/><Relationship Id="rId17" Type="http://schemas.openxmlformats.org/officeDocument/2006/relationships/hyperlink" Target="https://www.sec.gov/Archives/edgar/data/1831979/000149315226036984/form8-k.htm" TargetMode="External"/><Relationship Id="rId18" Type="http://schemas.openxmlformats.org/officeDocument/2006/relationships/hyperlink" Target="https://www.sec.gov/Archives/edgar/data/1831979/000149315226039723/form8-k.htm" TargetMode="External"/><Relationship Id="rId19" Type="http://schemas.openxmlformats.org/officeDocument/2006/relationships/hyperlink" Target="https://www.sec.gov/Archives/edgar/data/1831979/000149315226043157/form8-k.htm" TargetMode="External"/><Relationship Id="rId20" Type="http://schemas.openxmlformats.org/officeDocument/2006/relationships/hyperlink" Target="https://www.sec.gov/Archives/edgar/data/1831979/000149315226043189/form8-k.htm" TargetMode="External"/><Relationship Id="rId21" Type="http://schemas.openxmlformats.org/officeDocument/2006/relationships/hyperlink" Target="https://www.sec.gov/Archives/edgar/data/1831979/000149315226043731/form8-k.htm" TargetMode="External"/><Relationship Id="rId22" Type="http://schemas.openxmlformats.org/officeDocument/2006/relationships/hyperlink" Target="https://www.sec.gov/Archives/edgar/data/1831979/000149315226018351/formdef14a.htm" TargetMode="External"/><Relationship Id="rId23" Type="http://schemas.openxmlformats.org/officeDocument/2006/relationships/hyperlink" Target="https://www.sec.gov/Archives/edgar/data/1831979/000149315226012709/ex4-11.htm" TargetMode="External"/><Relationship Id="rId24" Type="http://schemas.openxmlformats.org/officeDocument/2006/relationships/hyperlink" Target="https://www.sec.gov/Archives/edgar/data/1831979/000149315224027127/ex3-1.htm" TargetMode="External"/><Relationship Id="rId25" Type="http://schemas.openxmlformats.org/officeDocument/2006/relationships/hyperlink" Target="https://www.sec.gov/Archives/edgar/data/1831979/000149315226012709/ex3-2.htm" TargetMode="External"/><Relationship Id="rId26" Type="http://schemas.openxmlformats.org/officeDocument/2006/relationships/hyperlink" Target="https://www.sec.gov/Archives/edgar/data/1831979/000149315225012599/ex3-1.htm" TargetMode="External"/><Relationship Id="rId27" Type="http://schemas.openxmlformats.org/officeDocument/2006/relationships/hyperlink" Target="https://www.sec.gov/Archives/edgar/data/1831979/000149315224027127/ex3-2.htm" TargetMode="External"/><Relationship Id="rId28" Type="http://schemas.openxmlformats.org/officeDocument/2006/relationships/hyperlink" Target="https://www.sec.gov/Archives/edgar/data/1831979/000149315226027112/ex10-1.htm" TargetMode="External"/><Relationship Id="rId29" Type="http://schemas.openxmlformats.org/officeDocument/2006/relationships/hyperlink" Target="https://www.sec.gov/Archives/edgar/data/1831979/000149315226023175/ex10-4.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2939</Words>
  <Characters>15548</Characters>
  <CharactersWithSpaces>18566</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