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917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September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C_edei--EntityRegistrantName_c2026"/>
      <w:bookmarkEnd w:id="4"/>
      <w:r>
        <w:rPr>
          <w:rFonts w:ascii="Times New Roman;Times;Serif" w:hAnsi="Times New Roman;Times;Serif"/>
          <w:b/>
          <w:i w:val="false"/>
          <w:caps w:val="false"/>
          <w:smallCaps w:val="false"/>
          <w:sz w:val="36"/>
        </w:rPr>
        <w:t>STARDUST 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9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8_edei--EntityFileNumber_c20260917"/>
            <w:bookmarkEnd w:id="6"/>
            <w:r>
              <w:rPr>
                <w:rFonts w:ascii="Times New Roman;Times;Serif" w:hAnsi="Times New Roman;Times;Serif"/>
                <w:b/>
                <w:i w:val="false"/>
                <w:caps w:val="false"/>
                <w:smallCaps w:val="false"/>
                <w:sz w:val="20"/>
              </w:rPr>
              <w:t>001-39875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C_edei--EntityTaxIdentificationNum"/>
            <w:bookmarkEnd w:id="7"/>
            <w:r>
              <w:rPr>
                <w:rFonts w:ascii="Times New Roman;Times;Serif" w:hAnsi="Times New Roman;Times;Serif"/>
                <w:b/>
                <w:i w:val="false"/>
                <w:caps w:val="false"/>
                <w:smallCaps w:val="false"/>
                <w:sz w:val="20"/>
              </w:rPr>
              <w:t>99-3863616</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tbl>
      <w:tblPr>
        <w:tblW w:w="4765" w:type="dxa"/>
        <w:jc w:val="left"/>
        <w:tblInd w:w="0" w:type="dxa"/>
        <w:tblLayout w:type="fixed"/>
        <w:tblCellMar>
          <w:top w:w="0" w:type="dxa"/>
          <w:left w:w="0" w:type="dxa"/>
          <w:bottom w:w="28" w:type="dxa"/>
          <w:right w:w="0" w:type="dxa"/>
        </w:tblCellMar>
      </w:tblPr>
      <w:tblGrid>
        <w:gridCol w:w="3785"/>
        <w:gridCol w:w="60"/>
        <w:gridCol w:w="920"/>
      </w:tblGrid>
      <w:tr>
        <w:trPr/>
        <w:tc>
          <w:tcPr>
            <w:tcW w:w="37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15 E. Putnam Ave, </w:t>
            </w:r>
            <w:bookmarkStart w:id="9" w:name="xdx_908_edei--EntityAddressAddressLine2_"/>
            <w:bookmarkEnd w:id="9"/>
            <w:r>
              <w:rPr>
                <w:rFonts w:ascii="Times New Roman;Times;Serif" w:hAnsi="Times New Roman;Times;Serif"/>
                <w:b/>
                <w:i w:val="false"/>
                <w:caps w:val="false"/>
                <w:smallCaps w:val="false"/>
                <w:sz w:val="20"/>
              </w:rPr>
              <w:t xml:space="preserve">Suite 378, </w:t>
            </w:r>
            <w:bookmarkStart w:id="10" w:name="xdx_90C_edei--EntityAddressCityOrTown_c2"/>
            <w:bookmarkEnd w:id="10"/>
            <w:r>
              <w:rPr>
                <w:rFonts w:ascii="Times New Roman;Times;Serif" w:hAnsi="Times New Roman;Times;Serif"/>
                <w:b/>
                <w:i w:val="false"/>
                <w:caps w:val="false"/>
                <w:smallCaps w:val="false"/>
                <w:sz w:val="20"/>
              </w:rPr>
              <w:t xml:space="preserve">Greenwich, </w:t>
            </w:r>
            <w:bookmarkStart w:id="11" w:name="xdx_903_edei--EntityAddressStateOrProvin"/>
            <w:bookmarkEnd w:id="11"/>
            <w:r>
              <w:rPr>
                <w:rFonts w:ascii="Times New Roman;Times;Serif" w:hAnsi="Times New Roman;Times;Serif"/>
                <w:b/>
                <w:i w:val="false"/>
                <w:caps w:val="false"/>
                <w:smallCaps w:val="false"/>
                <w:sz w:val="20"/>
              </w:rPr>
              <w:t>CT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9_edei--EntityAddressPostalZipCode"/>
            <w:bookmarkEnd w:id="12"/>
            <w:r>
              <w:rPr>
                <w:rFonts w:ascii="Times New Roman;Times;Serif" w:hAnsi="Times New Roman;Times;Serif"/>
                <w:b/>
                <w:i w:val="false"/>
                <w:caps w:val="false"/>
                <w:smallCaps w:val="false"/>
                <w:sz w:val="20"/>
              </w:rPr>
              <w:t>06830</w:t>
            </w:r>
          </w:p>
        </w:tc>
      </w:tr>
      <w:tr>
        <w:trPr/>
        <w:tc>
          <w:tcPr>
            <w:tcW w:w="37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C_edei--CityAreaCode_c20260917__20"/>
      <w:bookmarkEnd w:id="13"/>
      <w:r>
        <w:rPr>
          <w:rFonts w:ascii="Times New Roman;Times;Serif" w:hAnsi="Times New Roman;Times;Serif"/>
          <w:b/>
          <w:i w:val="false"/>
          <w:caps w:val="false"/>
          <w:smallCaps w:val="false"/>
          <w:sz w:val="20"/>
        </w:rPr>
        <w:t xml:space="preserve">(800) </w:t>
      </w:r>
      <w:bookmarkStart w:id="14" w:name="xdx_903_edei--LocalPhoneNumber_c20260917"/>
      <w:bookmarkEnd w:id="14"/>
      <w:r>
        <w:rPr>
          <w:rFonts w:ascii="Times New Roman;Times;Serif" w:hAnsi="Times New Roman;Times;Serif"/>
          <w:b/>
          <w:i w:val="false"/>
          <w:caps w:val="false"/>
          <w:smallCaps w:val="false"/>
          <w:sz w:val="20"/>
        </w:rPr>
        <w:t>742-3095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E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C_edei--SolicitingMaterial_c202609"/>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6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7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161"/>
        <w:gridCol w:w="60"/>
        <w:gridCol w:w="1276"/>
        <w:gridCol w:w="60"/>
        <w:gridCol w:w="2648"/>
      </w:tblGrid>
      <w:tr>
        <w:trPr/>
        <w:tc>
          <w:tcPr>
            <w:tcW w:w="616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16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D_edei--Security12bTitle_c20260917"/>
            <w:bookmarkEnd w:id="19"/>
            <w:r>
              <w:rPr>
                <w:rFonts w:ascii="Times New Roman;Times;Serif" w:hAnsi="Times New Roman;Times;Serif"/>
                <w:b w:val="false"/>
                <w:i w:val="false"/>
                <w:caps w:val="false"/>
                <w:smallCaps w:val="false"/>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5_edei--TradingSymbol_c20260917__2"/>
            <w:bookmarkEnd w:id="20"/>
            <w:r>
              <w:rPr>
                <w:rFonts w:ascii="Times New Roman;Times;Serif" w:hAnsi="Times New Roman;Times;Serif"/>
                <w:b w:val="false"/>
                <w:i w:val="false"/>
                <w:caps w:val="false"/>
                <w:smallCaps w:val="false"/>
                <w:sz w:val="20"/>
              </w:rPr>
              <w:t>SDST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3_edei--SecurityExchangeName_c2026"/>
            <w:bookmarkEnd w:id="21"/>
            <w:r>
              <w:rPr>
                <w:rFonts w:ascii="Times New Roman;Times;Serif" w:hAnsi="Times New Roman;Times;Serif"/>
                <w:b w:val="false"/>
                <w:i w:val="false"/>
                <w:caps w:val="false"/>
                <w:smallCaps w:val="false"/>
                <w:sz w:val="20"/>
              </w:rPr>
              <w:t>Nasdaq Capital Market</w:t>
            </w:r>
          </w:p>
        </w:tc>
      </w:tr>
      <w:tr>
        <w:trPr/>
        <w:tc>
          <w:tcPr>
            <w:tcW w:w="616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1_edei--Security12bTitle_c20260917"/>
            <w:bookmarkEnd w:id="22"/>
            <w:r>
              <w:rPr>
                <w:rFonts w:ascii="Times New Roman;Times;Serif" w:hAnsi="Times New Roman;Times;Serif"/>
                <w:b w:val="false"/>
                <w:i w:val="false"/>
                <w:caps w:val="false"/>
                <w:smallCaps w:val="false"/>
                <w:sz w:val="20"/>
              </w:rPr>
              <w:t>Redeemable warrants, with 10 warrants exercisable for one share of Common Stock at an exercise price of $115.00</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6_edei--TradingSymbol_c20260917__2"/>
            <w:bookmarkEnd w:id="23"/>
            <w:r>
              <w:rPr>
                <w:rFonts w:ascii="Times New Roman;Times;Serif" w:hAnsi="Times New Roman;Times;Serif"/>
                <w:b w:val="false"/>
                <w:i w:val="false"/>
                <w:caps w:val="false"/>
                <w:smallCaps w:val="false"/>
                <w:sz w:val="20"/>
              </w:rPr>
              <w:t>SDSTW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4" w:name="xdx_90D_edei--SecurityExchangeName_c2026"/>
            <w:bookmarkEnd w:id="24"/>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6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3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830"/>
        <w:gridCol w:w="1235"/>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w:t>
            </w:r>
          </w:p>
        </w:tc>
        <w:tc>
          <w:tcPr>
            <w:tcW w:w="12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Events.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2026, Stardust Power Inc. (the “Company”) filed the Amendment No.1 (the “Amendment No. 1”) to the Prospectus Supplement (as defined below) to update the maximum number of shares of the Company’s common stock (the “Placement Shares”) issuable pursuant to the At Market Issuance Sales Agreement between the Company and B. Riley Securities, Inc., dated May 8, 2026 (the “Sales Agreement”), to up to an additional aggregate of $8,990,537 of Placement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and sale of the Placement Shares by the Company under the Sales Agreement will be made pursuant to the Company’s registration statement on Form S-3 (File No. 333-294938) filed with the Securities and Exchange Commission on April 9, 2026, and declared effective on April 16, 2026, as supplemented and amended by the prospectus supplement, dated as of May 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legal opinion of Thompson Hine LLP relating to the Placement Shares is filed as Exhibit 5.1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Current Report on Form 8-K shall not constitute an offer to sell or a solicitation of an offer to buy any shares of common stock in any state or jurisdiction in which such an offer, solicitation, or sale would be unlawful prior to registration or qualification under the securities laws of any such state or other jurisdiction.</w:t>
      </w:r>
    </w:p>
    <w:p>
      <w:pPr>
        <w:pStyle w:val="TextBody"/>
        <w:bidi w:val="0"/>
        <w:spacing w:before="0" w:after="0"/>
        <w:ind w:left="0" w:right="0" w:hanging="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875"/>
        <w:gridCol w:w="2885"/>
      </w:tblGrid>
      <w:tr>
        <w:trPr/>
        <w:tc>
          <w:tcPr>
            <w:tcW w:w="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8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 and 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8785" w:type="dxa"/>
        <w:jc w:val="left"/>
        <w:tblInd w:w="0" w:type="dxa"/>
        <w:shd w:fill="FFFFFF" w:val="clear"/>
        <w:tblLayout w:type="fixed"/>
        <w:tblCellMar>
          <w:top w:w="0" w:type="dxa"/>
          <w:left w:w="0" w:type="dxa"/>
          <w:bottom w:w="28" w:type="dxa"/>
          <w:right w:w="0" w:type="dxa"/>
        </w:tblCellMar>
      </w:tblPr>
      <w:tblGrid>
        <w:gridCol w:w="1340"/>
        <w:gridCol w:w="60"/>
        <w:gridCol w:w="7385"/>
      </w:tblGrid>
      <w:tr>
        <w:trPr/>
        <w:tc>
          <w:tcPr>
            <w:tcW w:w="134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8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134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8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34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85" w:type="dxa"/>
            <w:tcBorders/>
            <w:shd w:fill="FFFFFF" w:val="clear"/>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Thompson Hine LLP.</w:t>
              </w:r>
            </w:hyperlink>
          </w:p>
        </w:tc>
      </w:tr>
      <w:tr>
        <w:trPr/>
        <w:tc>
          <w:tcPr>
            <w:tcW w:w="134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85" w:type="dxa"/>
            <w:tcBorders/>
            <w:shd w:fill="FFFFFF" w:val="clear"/>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Thompson Hine LLP (included in Exhibit 5.1).</w:t>
              </w:r>
            </w:hyperlink>
          </w:p>
        </w:tc>
      </w:tr>
      <w:tr>
        <w:trPr/>
        <w:tc>
          <w:tcPr>
            <w:tcW w:w="134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8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2135"/>
        <w:gridCol w:w="2165"/>
      </w:tblGrid>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17, 2026</w:t>
            </w:r>
          </w:p>
        </w:tc>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STARDUST POWER INC.</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1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1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Roshan Pujari</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Roshan Pujari</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7" w:name="ex5-1.htm"/>
      <w:bookmarkStart w:id="28" w:name="ksex51"/>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85800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7048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17,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Stardust Power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E. Putnam Ave, Suite 378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Greenwich, CT 06830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 Stardust Power Inc.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Stardust Power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with respect to certain matters in connection with the offering by the Company of $8,990,537 of shares of the Company’s common stock, par value $0.0001 per share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pursuant to the Registration Statement on Form S-3 (File No. 333-294938) (as amended,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originally filed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under the Securities Act of 1933(as amended,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on April 6, 2026, and declared effective by the Commission on April 16, 2026, which includes the base prospectus and the prospectus supplement dated May 8, 2026, and the Amendment to the prospectus supplement dated September 17, 2026, filed with the Commission pursuant to Rule 424(b) promulgated under the Act (together with the base prospectus,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The Shares are to be sold by the Company in accordance with the At Market Issuance Sales Agreement dated May 8, 2026, by and between the Company and B. Riley Securities, Inc. (the “</w:t>
      </w:r>
      <w:r>
        <w:rPr>
          <w:rFonts w:ascii="Times New Roman;Times;Serif" w:hAnsi="Times New Roman;Times;Serif"/>
          <w:b/>
          <w:i/>
          <w:caps w:val="false"/>
          <w:smallCaps w:val="false"/>
          <w:sz w:val="20"/>
        </w:rPr>
        <w:t>Sales Agreement</w:t>
      </w:r>
      <w:r>
        <w:rPr>
          <w:rFonts w:ascii="Times New Roman;Times;Serif" w:hAnsi="Times New Roman;Times;Serif"/>
          <w:b w:val="false"/>
          <w:i w:val="false"/>
          <w:caps w:val="false"/>
          <w:smallCaps w:val="false"/>
          <w:sz w:val="20"/>
        </w:rPr>
        <w:t>”), as described in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this opinion, we have examined and are familiar with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as amended and Bylaws of the Company, through the date hereof (the “</w:t>
            </w:r>
            <w:r>
              <w:rPr>
                <w:rFonts w:ascii="Times New Roman;Times;Serif" w:hAnsi="Times New Roman;Times;Serif"/>
                <w:b/>
                <w:i/>
                <w:caps w:val="false"/>
                <w:smallCaps w:val="false"/>
                <w:sz w:val="20"/>
              </w:rPr>
              <w:t xml:space="preserve">Certificate of Incorporation” </w:t>
            </w:r>
            <w:r>
              <w:rPr>
                <w:rFonts w:ascii="Times New Roman;Times;Serif" w:hAnsi="Times New Roman;Times;Serif"/>
                <w:b w:val="false"/>
                <w:i w:val="false"/>
                <w:caps w:val="false"/>
                <w:smallCaps w:val="false"/>
                <w:sz w:val="20"/>
              </w:rPr>
              <w:t>and “</w:t>
            </w:r>
            <w:r>
              <w:rPr>
                <w:rFonts w:ascii="Times New Roman;Times;Serif" w:hAnsi="Times New Roman;Times;Serif"/>
                <w:b/>
                <w:i/>
                <w:caps w:val="false"/>
                <w:smallCaps w:val="false"/>
                <w:sz w:val="20"/>
              </w:rPr>
              <w:t>Bylaws</w:t>
            </w:r>
            <w:r>
              <w:rPr>
                <w:rFonts w:ascii="Times New Roman;Times;Serif" w:hAnsi="Times New Roman;Times;Serif"/>
                <w:b w:val="false"/>
                <w:i w:val="false"/>
                <w:caps w:val="false"/>
                <w:smallCaps w:val="false"/>
                <w:sz w:val="20"/>
              </w:rPr>
              <w:t>”, respectively).</w:t>
            </w:r>
          </w:p>
        </w:tc>
      </w:tr>
    </w:tbl>
    <w:p>
      <w:pPr>
        <w:pStyle w:val="TextBody"/>
        <w:bidi w:val="0"/>
        <w:spacing w:before="0" w:after="0"/>
        <w:ind w:left="720" w:right="0" w:hanging="360"/>
        <w:jc w:val="both"/>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17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w:t>
            </w:r>
          </w:p>
        </w:tc>
      </w:tr>
    </w:tbl>
    <w:p>
      <w:pPr>
        <w:pStyle w:val="TextBody"/>
        <w:bidi w:val="0"/>
        <w:spacing w:before="0" w:after="0"/>
        <w:ind w:left="720" w:right="0" w:hanging="360"/>
        <w:jc w:val="both"/>
        <w:rPr>
          <w:caps w:val="false"/>
          <w:smallCaps w:val="false"/>
        </w:rPr>
      </w:pPr>
      <w:r>
        <w:rPr>
          <w:caps w:val="false"/>
          <w:smallCaps w:val="false"/>
        </w:rPr>
        <w:t> </w:t>
      </w:r>
    </w:p>
    <w:tbl>
      <w:tblPr>
        <w:tblW w:w="1503" w:type="dxa"/>
        <w:jc w:val="left"/>
        <w:tblInd w:w="0" w:type="dxa"/>
        <w:tblLayout w:type="fixed"/>
        <w:tblCellMar>
          <w:top w:w="0" w:type="dxa"/>
          <w:left w:w="0" w:type="dxa"/>
          <w:bottom w:w="0" w:type="dxa"/>
          <w:right w:w="0" w:type="dxa"/>
        </w:tblCellMar>
      </w:tblPr>
      <w:tblGrid>
        <w:gridCol w:w="38"/>
        <w:gridCol w:w="155"/>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w:t>
            </w:r>
          </w:p>
        </w:tc>
      </w:tr>
    </w:tbl>
    <w:p>
      <w:pPr>
        <w:pStyle w:val="TextBody"/>
        <w:bidi w:val="0"/>
        <w:spacing w:before="0" w:after="0"/>
        <w:ind w:left="720" w:right="0" w:hanging="360"/>
        <w:jc w:val="both"/>
        <w:rPr>
          <w:caps w:val="false"/>
          <w:smallCaps w:val="false"/>
        </w:rPr>
      </w:pPr>
      <w:r>
        <w:rPr>
          <w:caps w:val="false"/>
          <w:smallCaps w:val="false"/>
        </w:rPr>
        <w:t> </w:t>
      </w:r>
    </w:p>
    <w:tbl>
      <w:tblPr>
        <w:tblW w:w="10083" w:type="dxa"/>
        <w:jc w:val="left"/>
        <w:tblInd w:w="0" w:type="dxa"/>
        <w:tblLayout w:type="fixed"/>
        <w:tblCellMar>
          <w:top w:w="0" w:type="dxa"/>
          <w:left w:w="0" w:type="dxa"/>
          <w:bottom w:w="0" w:type="dxa"/>
          <w:right w:w="0" w:type="dxa"/>
        </w:tblCellMar>
      </w:tblPr>
      <w:tblGrid>
        <w:gridCol w:w="38"/>
        <w:gridCol w:w="170"/>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records, instruments, documents, and certificates as we have deemed advisable in order to render such opinion.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examination, we have assumed:</w:t>
      </w:r>
    </w:p>
    <w:p>
      <w:pPr>
        <w:pStyle w:val="TextBody"/>
        <w:bidi w:val="0"/>
        <w:spacing w:before="0" w:after="0"/>
        <w:ind w:left="0" w:right="0" w:hanging="0"/>
        <w:jc w:val="both"/>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155"/>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genuineness of all signatures.</w:t>
            </w:r>
          </w:p>
        </w:tc>
      </w:tr>
    </w:tbl>
    <w:p>
      <w:pPr>
        <w:pStyle w:val="TextBody"/>
        <w:bidi w:val="0"/>
        <w:spacing w:before="0" w:after="0"/>
        <w:ind w:left="720" w:right="0" w:hanging="360"/>
        <w:jc w:val="both"/>
        <w:rPr>
          <w:caps w:val="false"/>
          <w:smallCaps w:val="false"/>
        </w:rPr>
      </w:pPr>
      <w:r>
        <w:rPr>
          <w:caps w:val="false"/>
          <w:smallCaps w:val="false"/>
        </w:rPr>
        <w:t> </w:t>
      </w:r>
    </w:p>
    <w:tbl>
      <w:tblPr>
        <w:tblW w:w="3528" w:type="dxa"/>
        <w:jc w:val="left"/>
        <w:tblInd w:w="0" w:type="dxa"/>
        <w:tblLayout w:type="fixed"/>
        <w:tblCellMar>
          <w:top w:w="0" w:type="dxa"/>
          <w:left w:w="0" w:type="dxa"/>
          <w:bottom w:w="0" w:type="dxa"/>
          <w:right w:w="0" w:type="dxa"/>
        </w:tblCellMar>
      </w:tblPr>
      <w:tblGrid>
        <w:gridCol w:w="38"/>
        <w:gridCol w:w="170"/>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capacity of all natural persons.</w:t>
            </w:r>
          </w:p>
        </w:tc>
      </w:tr>
    </w:tbl>
    <w:p>
      <w:pPr>
        <w:pStyle w:val="TextBody"/>
        <w:bidi w:val="0"/>
        <w:spacing w:before="0" w:after="0"/>
        <w:ind w:left="720" w:right="0" w:hanging="360"/>
        <w:jc w:val="both"/>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155"/>
        <w:gridCol w:w="509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authenticity of all documents submitted to us as originals.</w:t>
            </w:r>
          </w:p>
        </w:tc>
      </w:tr>
    </w:tbl>
    <w:p>
      <w:pPr>
        <w:pStyle w:val="TextBody"/>
        <w:bidi w:val="0"/>
        <w:spacing w:before="0" w:after="0"/>
        <w:ind w:left="720" w:right="0" w:hanging="360"/>
        <w:jc w:val="both"/>
        <w:rPr>
          <w:caps w:val="false"/>
          <w:smallCaps w:val="false"/>
        </w:rPr>
      </w:pPr>
      <w:r>
        <w:rPr>
          <w:caps w:val="false"/>
          <w:smallCaps w:val="false"/>
        </w:rPr>
        <w:t> </w:t>
      </w:r>
    </w:p>
    <w:tbl>
      <w:tblPr>
        <w:tblW w:w="6843" w:type="dxa"/>
        <w:jc w:val="left"/>
        <w:tblInd w:w="0" w:type="dxa"/>
        <w:tblLayout w:type="fixed"/>
        <w:tblCellMar>
          <w:top w:w="0" w:type="dxa"/>
          <w:left w:w="0" w:type="dxa"/>
          <w:bottom w:w="0" w:type="dxa"/>
          <w:right w:w="0" w:type="dxa"/>
        </w:tblCellMar>
      </w:tblPr>
      <w:tblGrid>
        <w:gridCol w:w="38"/>
        <w:gridCol w:w="170"/>
        <w:gridCol w:w="6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conformity to original documents of all documents submitted to us as copies.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subject to the assumptions, limitations and qualifications stated herein, we are of the opinion that the Shares to be issued and sold by the Company have been duly authorized for issuance and, when the Shares are issued and paid for in accordance with the terms and conditions of the Sales Agreement, the Shares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858000" cy="523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5238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858000" cy="628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6286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Stardust Power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17,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expressed above are limited to the General Corporation Laws of the State of Delaware and laws of the State of New York, in each case as currently in effect (collectively, “</w:t>
      </w:r>
      <w:r>
        <w:rPr>
          <w:rFonts w:ascii="Times New Roman;Times;Serif" w:hAnsi="Times New Roman;Times;Serif"/>
          <w:b/>
          <w:i/>
          <w:caps w:val="false"/>
          <w:smallCaps w:val="false"/>
          <w:sz w:val="20"/>
        </w:rPr>
        <w:t>Applicable Law</w:t>
      </w:r>
      <w:r>
        <w:rPr>
          <w:rFonts w:ascii="Times New Roman;Times;Serif" w:hAnsi="Times New Roman;Times;Serif"/>
          <w:b w:val="false"/>
          <w:i w:val="false"/>
          <w:caps w:val="false"/>
          <w:smallCaps w:val="false"/>
          <w:sz w:val="20"/>
        </w:rPr>
        <w:t>”), and we express no opinion as to the effect on the matters covered by this letter of the laws of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as to certain matters on information obtained from public officials, officers of the Company, and other sources believed by us to be responsible.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a Current Report on Form 8-K in accordance with the requirements of Item 601(b)(5) of Regulation S-K under the Act. In giving such consent, we do not hereby admit that we are in the category of persons whose consent is required under Section 7 of the Act or the rules and regulations of the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Thompson Hine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Thompson Hine LLP</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1249</Words>
  <Characters>6518</Characters>
  <CharactersWithSpaces>7765</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