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CORTEGOSO PABLO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6608 N. WESTERN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466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NICHOLS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Stardust Power Inc.</w:t>
              </w:r>
            </w:hyperlink>
            <w:r>
              <w:rPr/>
              <w:t xml:space="preserve"> [ </w:t>
            </w:r>
            <w:r>
              <w:rPr>
                <w:rFonts w:ascii="Times;serif" w:hAnsi="Times;serif"/>
                <w:color w:val="0000FF"/>
                <w:sz w:val="24"/>
                <w:shd w:fill="FFFFFF" w:val="clear"/>
              </w:rPr>
              <w:t>SDST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881"/>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123,614</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0.1318</w:t>
            </w:r>
            <w:r>
              <w:rPr>
                <w:rFonts w:ascii="Times;serif" w:hAnsi="Times;serif"/>
                <w:color w:val="008000"/>
                <w:position w:val="7"/>
                <w:sz w:val="16"/>
                <w:sz w:val="20"/>
                <w:shd w:fill="FFFFFF" w:val="clear"/>
              </w:rPr>
              <w:t>(2)</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462,973</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sales pursuant to a Rule 10b5-1(c)(1) sales plan adopted on June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sale price per share. These shares were sold in multiple transactions at prices ranging from $0.1300 to $0.1364,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Udaychandra Devasper, as attorney in fact for Pablo Cortegoso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8166" TargetMode="External"/><Relationship Id="rId5" Type="http://schemas.openxmlformats.org/officeDocument/2006/relationships/hyperlink" Target="http://www.sec.gov/cgi-bin/browse-edgar?action=getcompany&amp;CIK=00018319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3564</Characters>
  <CharactersWithSpaces>4153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