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 and Rule 424(c)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333-282536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6, 2024,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1642110</wp:posOffset>
            </wp:positionH>
            <wp:positionV relativeFrom="paragraph">
              <wp:posOffset>142875</wp:posOffset>
            </wp:positionV>
            <wp:extent cx="385762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5762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STARDUST POWER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6,500,000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November 6, 2024, as amended by the prospectus dated May 13, 2025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which forms a part of our registration statement on Form S-1 (No. 333-282536). This prospectus supplement is being filed to update and supplement the information in the Prospectus with the information contained in our Current Report on Form 8-K,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May 15, 2025 (the “</w:t>
      </w:r>
      <w:r>
        <w:rPr>
          <w:rFonts w:ascii="Times New Roman" w:cs="Times New Roman" w:eastAsia="Times New Roman" w:hAnsi="Times New Roman"/>
          <w:sz w:val="18"/>
          <w:szCs w:val="18"/>
          <w:b w:val="1"/>
          <w:bCs w:val="1"/>
          <w:color w:val="auto"/>
        </w:rPr>
        <w:t>Form 8-K</w:t>
      </w:r>
      <w:r>
        <w:rPr>
          <w:rFonts w:ascii="Times New Roman" w:cs="Times New Roman" w:eastAsia="Times New Roman" w:hAnsi="Times New Roman"/>
          <w:sz w:val="18"/>
          <w:szCs w:val="18"/>
          <w:color w:val="auto"/>
        </w:rPr>
        <w:t>”). Accordingly, we have attached the Form 8-K to this prospectus supplement.</w:t>
      </w:r>
    </w:p>
    <w:p>
      <w:pPr>
        <w:spacing w:after="0" w:line="176"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Prospectus relates to the offer and resale of up to 6,500,000 shares of our common stock,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by B. Riley Principal Capital II, LLC (the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The shares included in this Prospectus consist of shares of Common Stock that we have issued or that we may, in our discretion, elect to issue and sell to the Selling Stockholder, from time to time after the date of this Prospectus, pursuant to a Common Stock Purchase Agreement we entered into with the Selling Stockholder on October 7, 2024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in which the Selling Stockholder has committed to purchase from us, at our direction, up to $50,000,000 of our Common Stock, subject to terms and conditions specified in the Purchase Agreement.</w:t>
      </w:r>
    </w:p>
    <w:p>
      <w:pPr>
        <w:spacing w:after="0" w:line="182"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Our Common Stock is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“SDST”. On May 14, 2025, the last reported sales price of our Common Stock was $0.7151 per share.</w:t>
      </w:r>
    </w:p>
    <w:p>
      <w:pPr>
        <w:spacing w:after="0" w:line="159"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 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3" w:lineRule="exact"/>
        <w:rPr>
          <w:sz w:val="24"/>
          <w:szCs w:val="24"/>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beginning on page 7 of the Prospectus, and under similar headings in any amendments or supplements to the Prospectus.</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Prospectus or this prospectus supplement.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STARDUST POWER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001-39875</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14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99-3863616</w:t>
            </w:r>
          </w:p>
        </w:tc>
      </w:tr>
      <w:tr>
        <w:trPr>
          <w:trHeight w:val="194"/>
        </w:trPr>
        <w:tc>
          <w:tcPr>
            <w:tcW w:w="3060" w:type="dxa"/>
            <w:vAlign w:val="bottom"/>
            <w:tcBorders>
              <w:top w:val="single" w:sz="8" w:color="auto"/>
            </w:tcBorders>
          </w:tcPr>
          <w:p>
            <w:pPr>
              <w:jc w:val="center"/>
              <w:ind w:left="47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3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1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810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15 E. Putnam Ave, Suite 378</w:t>
            </w:r>
          </w:p>
        </w:tc>
        <w:tc>
          <w:tcPr>
            <w:tcW w:w="3140" w:type="dxa"/>
            <w:vAlign w:val="bottom"/>
          </w:tcPr>
          <w:p>
            <w:pPr>
              <w:spacing w:after="0"/>
              <w:rPr>
                <w:sz w:val="24"/>
                <w:szCs w:val="24"/>
                <w:color w:val="auto"/>
              </w:rPr>
            </w:pPr>
          </w:p>
        </w:tc>
      </w:tr>
      <w:tr>
        <w:trPr>
          <w:trHeight w:val="238"/>
        </w:trPr>
        <w:tc>
          <w:tcPr>
            <w:tcW w:w="3060" w:type="dxa"/>
            <w:vAlign w:val="bottom"/>
          </w:tcPr>
          <w:p>
            <w:pPr>
              <w:spacing w:after="0"/>
              <w:rPr>
                <w:sz w:val="20"/>
                <w:szCs w:val="20"/>
                <w:color w:val="auto"/>
              </w:rPr>
            </w:pPr>
          </w:p>
        </w:tc>
        <w:tc>
          <w:tcPr>
            <w:tcW w:w="5040" w:type="dxa"/>
            <w:vAlign w:val="bottom"/>
            <w:gridSpan w:val="5"/>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Greenwich, CT</w:t>
            </w:r>
          </w:p>
        </w:tc>
        <w:tc>
          <w:tcPr>
            <w:tcW w:w="314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06830</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3060" w:type="dxa"/>
            <w:vAlign w:val="bottom"/>
          </w:tcPr>
          <w:p>
            <w:pPr>
              <w:spacing w:after="0"/>
              <w:rPr>
                <w:sz w:val="24"/>
                <w:szCs w:val="24"/>
                <w:color w:val="auto"/>
              </w:rPr>
            </w:pPr>
          </w:p>
        </w:tc>
        <w:tc>
          <w:tcPr>
            <w:tcW w:w="4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(800) 742-3095</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8"/>
        </w:trPr>
        <w:tc>
          <w:tcPr>
            <w:tcW w:w="3060" w:type="dxa"/>
            <w:vAlign w:val="bottom"/>
          </w:tcPr>
          <w:p>
            <w:pPr>
              <w:spacing w:after="0"/>
              <w:rPr>
                <w:sz w:val="20"/>
                <w:szCs w:val="20"/>
                <w:color w:val="auto"/>
              </w:rPr>
            </w:pPr>
          </w:p>
        </w:tc>
        <w:tc>
          <w:tcPr>
            <w:tcW w:w="504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14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SDST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198"/>
        </w:trPr>
        <w:tc>
          <w:tcPr>
            <w:tcW w:w="47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22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SDSTW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 of Common Stock at an exercise price of $11.50</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Stardust Power Inc. (the “Company”) and B. Riley Principal Capital II, LLC (“B. Riley Principal Capital II”) entered into a Common Stock Purchase Agreement, dated October 7, 2024 (the “Purchase Agreement”) where upon satisfaction of the conditions contained therein, the Company will have the right, in its sole discretion, to sell up to $50,000,000 of shares of the Company’s common stock, par value $0.0001 per share (the “Common Stock”) to B. Riley Principal Capital II.</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2025, the Company and B. Riley Principal Capital II entered into an amendment (the “Amendment”) to the Purchase Agreement to reduce the minimum closing price of the Company’s Common Stock on the trading day immediately prior to the day of such purchase of shares of Common Stock by B. Riley Principal Capital II from $1.00 per share to $0.50 per share (the “Threshold Price”). All other terms of the Purchase Agreement remain unchanged.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Amendment are qualified in their entirety by reference to the full text of such agreements, copies of which are attached as Exhibit 10.1 to the Company’s Current Report on Form 8-K filed with the Securities and Exchange Commission on October 7, 2024, and Exhibit 10.1 to this Current Report on Form 8-K, respectively, and each of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60" w:right="340" w:hanging="444"/>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Amendment to the Common Stock Purchase Agreement, dated as of October 7, 2024, by and between Stardust Power Inc. and B. Riley Principal Capital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15, 2025</w:t>
      </w:r>
      <w:r>
        <w:rPr>
          <w:sz w:val="20"/>
          <w:szCs w:val="20"/>
          <w:color w:val="auto"/>
        </w:rPr>
        <w:tab/>
      </w:r>
      <w:r>
        <w:rPr>
          <w:rFonts w:ascii="Times New Roman" w:cs="Times New Roman" w:eastAsia="Times New Roman" w:hAnsi="Times New Roman"/>
          <w:sz w:val="17"/>
          <w:szCs w:val="17"/>
          <w:b w:val="1"/>
          <w:bCs w:val="1"/>
          <w:color w:val="auto"/>
        </w:rPr>
        <w:t>STARDUST POWER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Roshan Pujari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Roshan Pujari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TO THE COMMON STOCK PURCHASE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May 15, 2025, by and between Stardust Power Inc., a Delaware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B. Riley Principal Capital II, LLC, a Delaware limited liability company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entered into that certain Common Stock Purchase Agreement with the Investor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October 7, 2024;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 desire to amend the Purchase Agreement as set forth in this Amendment.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mutual agreements contained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and intending to be legally bound hereby, the Company and the Purchaser hereby agree as follows:</w:t>
      </w:r>
    </w:p>
    <w:p>
      <w:pPr>
        <w:spacing w:after="0" w:line="159" w:lineRule="exact"/>
        <w:rPr>
          <w:sz w:val="20"/>
          <w:szCs w:val="20"/>
          <w:color w:val="auto"/>
        </w:rPr>
      </w:pPr>
    </w:p>
    <w:p>
      <w:pPr>
        <w:ind w:firstLine="656"/>
        <w:spacing w:after="0" w:line="282"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the Threshold Price</w:t>
      </w:r>
      <w:r>
        <w:rPr>
          <w:rFonts w:ascii="Times New Roman" w:cs="Times New Roman" w:eastAsia="Times New Roman" w:hAnsi="Times New Roman"/>
          <w:sz w:val="18"/>
          <w:szCs w:val="18"/>
          <w:color w:val="auto"/>
        </w:rPr>
        <w:t>. The definition of “Threshold Price” contained in Annex I to the Purchase Agreement is hereby amended and restated in its entirety as follows:</w:t>
      </w:r>
    </w:p>
    <w:p>
      <w:pPr>
        <w:spacing w:after="0" w:line="158" w:lineRule="exact"/>
        <w:rPr>
          <w:sz w:val="20"/>
          <w:szCs w:val="20"/>
          <w:color w:val="auto"/>
        </w:rPr>
      </w:pPr>
    </w:p>
    <w:p>
      <w:pPr>
        <w:jc w:val="both"/>
        <w:ind w:left="1300" w:right="9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Threshold Price”</w:t>
      </w:r>
      <w:r>
        <w:rPr>
          <w:rFonts w:ascii="Times New Roman" w:cs="Times New Roman" w:eastAsia="Times New Roman" w:hAnsi="Times New Roman"/>
          <w:sz w:val="18"/>
          <w:szCs w:val="18"/>
          <w:color w:val="auto"/>
        </w:rPr>
        <w:t xml:space="preserve"> means $0.50, which shall not be adjusted (proportionally or otherwise) for any forward stock split, reverse stock split, stock combination, stock dividend, recapitalization, reorganization or other similar transaction involving the capital stock of the Company that occurs on or after the date of the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No Further Amendment</w:t>
      </w:r>
      <w:r>
        <w:rPr>
          <w:rFonts w:ascii="Times New Roman" w:cs="Times New Roman" w:eastAsia="Times New Roman" w:hAnsi="Times New Roman"/>
          <w:sz w:val="18"/>
          <w:szCs w:val="18"/>
          <w:color w:val="auto"/>
        </w:rPr>
        <w:t>. Except as amended by this Amendment, the Purchase Agreement remains unaltered and shall remain in full force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ind w:firstLine="656"/>
        <w:spacing w:after="0" w:line="282" w:lineRule="auto"/>
        <w:tabs>
          <w:tab w:leader="none" w:pos="8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Amendment shall be determined in accordance with the terms of the Purchase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will be deemed an original and all of which together will constitute one and the same instrument. Signatures delivered by electronic mail (including as a PDF file) or other transmission method shall be deemed to be original signatures, shall be valid and binding, and, upon delivery, shall constitute due execution of this Amendment.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Company and the Purchaser has caused this Amendment to be executed and delivered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STARDUST POWER,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 RILEY PRINCIPAL CAPITAL II, LLC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2025-05-16T05:09:33Z</dcterms:created>
  <dcterms:modified xsi:type="dcterms:W3CDTF">2025-05-16T05:09:33Z</dcterms:modified>
</cp:coreProperties>
</file>